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46" w:rsidRPr="00A56446" w:rsidRDefault="00A56446" w:rsidP="00263114">
      <w:pPr>
        <w:jc w:val="center"/>
        <w:rPr>
          <w:rFonts w:asciiTheme="minorHAnsi" w:hAnsiTheme="minorHAnsi"/>
          <w:b/>
          <w:u w:val="single"/>
        </w:rPr>
      </w:pPr>
      <w:r w:rsidRPr="00A56446">
        <w:rPr>
          <w:rFonts w:asciiTheme="minorHAnsi" w:hAnsiTheme="minorHAnsi"/>
          <w:b/>
          <w:u w:val="single"/>
        </w:rPr>
        <w:t>Dr Johnston &amp; Partners</w:t>
      </w:r>
    </w:p>
    <w:p w:rsidR="00A56446" w:rsidRPr="00A56446" w:rsidRDefault="00A56446" w:rsidP="00263114">
      <w:pPr>
        <w:jc w:val="center"/>
        <w:rPr>
          <w:rFonts w:asciiTheme="minorHAnsi" w:hAnsiTheme="minorHAnsi"/>
        </w:rPr>
      </w:pPr>
      <w:r w:rsidRPr="00A56446">
        <w:rPr>
          <w:rFonts w:asciiTheme="minorHAnsi" w:hAnsiTheme="minorHAnsi"/>
        </w:rPr>
        <w:t>Dr Alison Johnston, Dr Johannes Rath &amp; Dr Kimberley Brockbank</w:t>
      </w:r>
    </w:p>
    <w:p w:rsidR="00A56446" w:rsidRPr="00A56446" w:rsidRDefault="00A56446" w:rsidP="00263114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noProof/>
          <w:sz w:val="30"/>
          <w:szCs w:val="30"/>
        </w:rPr>
        <w:drawing>
          <wp:inline distT="0" distB="0" distL="0" distR="0">
            <wp:extent cx="2114550" cy="1016611"/>
            <wp:effectExtent l="0" t="0" r="0" b="0"/>
            <wp:docPr id="4" name="Picture 4" descr="ulverston_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verston_h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1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46" w:rsidRPr="00A56446" w:rsidRDefault="00A56446" w:rsidP="00263114">
      <w:pPr>
        <w:rPr>
          <w:rFonts w:asciiTheme="minorHAnsi" w:hAnsiTheme="minorHAnsi"/>
          <w:sz w:val="22"/>
          <w:szCs w:val="22"/>
        </w:rPr>
      </w:pPr>
    </w:p>
    <w:p w:rsidR="00A56446" w:rsidRPr="00A56446" w:rsidRDefault="00A56446" w:rsidP="00263114">
      <w:pPr>
        <w:jc w:val="center"/>
        <w:rPr>
          <w:rFonts w:asciiTheme="minorHAnsi" w:hAnsiTheme="minorHAnsi"/>
        </w:rPr>
      </w:pPr>
      <w:r w:rsidRPr="00A56446">
        <w:rPr>
          <w:rFonts w:asciiTheme="minorHAnsi" w:hAnsiTheme="minorHAnsi"/>
        </w:rPr>
        <w:t>Ulverston Community Health Centre</w:t>
      </w:r>
    </w:p>
    <w:p w:rsidR="00A56446" w:rsidRPr="00A56446" w:rsidRDefault="00A56446" w:rsidP="00263114">
      <w:pPr>
        <w:jc w:val="center"/>
        <w:rPr>
          <w:rFonts w:asciiTheme="minorHAnsi" w:hAnsiTheme="minorHAnsi"/>
        </w:rPr>
      </w:pPr>
      <w:r w:rsidRPr="00A56446">
        <w:rPr>
          <w:rFonts w:asciiTheme="minorHAnsi" w:hAnsiTheme="minorHAnsi"/>
        </w:rPr>
        <w:t>Stanley Street, Ulverston, Cumbria, LA12 7BT</w:t>
      </w:r>
    </w:p>
    <w:p w:rsidR="00A56446" w:rsidRPr="00A56446" w:rsidRDefault="00A56446" w:rsidP="00263114">
      <w:pPr>
        <w:jc w:val="center"/>
        <w:rPr>
          <w:rFonts w:asciiTheme="minorHAnsi" w:hAnsiTheme="minorHAnsi"/>
        </w:rPr>
      </w:pPr>
      <w:r w:rsidRPr="00A56446">
        <w:rPr>
          <w:rFonts w:asciiTheme="minorHAnsi" w:hAnsiTheme="minorHAnsi"/>
        </w:rPr>
        <w:t>Tel: 01229 484100 Fax: 01229 484101</w:t>
      </w:r>
    </w:p>
    <w:p w:rsidR="00A56446" w:rsidRDefault="008D6799" w:rsidP="00675084">
      <w:pPr>
        <w:jc w:val="center"/>
        <w:rPr>
          <w:rStyle w:val="Hyperlink"/>
          <w:rFonts w:asciiTheme="minorHAnsi" w:hAnsiTheme="minorHAnsi"/>
        </w:rPr>
      </w:pPr>
      <w:hyperlink r:id="rId9" w:history="1">
        <w:r w:rsidR="00A56446" w:rsidRPr="00A56446">
          <w:rPr>
            <w:rStyle w:val="Hyperlink"/>
            <w:rFonts w:asciiTheme="minorHAnsi" w:hAnsiTheme="minorHAnsi"/>
          </w:rPr>
          <w:t>www.drjohnstonandpartners.co.uk</w:t>
        </w:r>
      </w:hyperlink>
    </w:p>
    <w:p w:rsidR="00A56446" w:rsidRDefault="00A56446" w:rsidP="00675084">
      <w:pPr>
        <w:jc w:val="center"/>
        <w:rPr>
          <w:rStyle w:val="Hyperlink"/>
          <w:rFonts w:asciiTheme="minorHAnsi" w:hAnsiTheme="minorHAnsi"/>
        </w:rPr>
      </w:pPr>
    </w:p>
    <w:p w:rsidR="00E85096" w:rsidRPr="00A56446" w:rsidRDefault="00FE4C60" w:rsidP="00675084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A56446">
        <w:rPr>
          <w:rFonts w:asciiTheme="minorHAnsi" w:hAnsiTheme="minorHAnsi" w:cs="Arial"/>
          <w:b/>
          <w:sz w:val="36"/>
          <w:szCs w:val="36"/>
        </w:rPr>
        <w:t>General Data Protection Regulation Policy</w:t>
      </w:r>
    </w:p>
    <w:p w:rsidR="00E85096" w:rsidRPr="00A56446" w:rsidRDefault="00E85096">
      <w:pPr>
        <w:rPr>
          <w:rFonts w:asciiTheme="minorHAnsi" w:hAnsiTheme="minorHAnsi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/>
      </w:tblPr>
      <w:tblGrid>
        <w:gridCol w:w="1096"/>
        <w:gridCol w:w="2040"/>
        <w:gridCol w:w="2268"/>
        <w:gridCol w:w="2126"/>
        <w:gridCol w:w="3331"/>
      </w:tblGrid>
      <w:tr w:rsidR="00675084" w:rsidRPr="00A56446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:rsidR="00675084" w:rsidRPr="00A56446" w:rsidRDefault="00675084" w:rsidP="00515291">
            <w:pPr>
              <w:jc w:val="center"/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</w:pPr>
            <w:r w:rsidRPr="00A56446"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:rsidR="00675084" w:rsidRPr="00A56446" w:rsidRDefault="00675084" w:rsidP="00515291">
            <w:pPr>
              <w:jc w:val="center"/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</w:pPr>
            <w:r w:rsidRPr="00A56446"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:rsidR="00675084" w:rsidRPr="00A56446" w:rsidRDefault="00675084" w:rsidP="00515291">
            <w:pPr>
              <w:jc w:val="center"/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</w:pPr>
            <w:r w:rsidRPr="00A56446"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:rsidR="00675084" w:rsidRPr="00A56446" w:rsidRDefault="00675084" w:rsidP="00515291">
            <w:pPr>
              <w:jc w:val="center"/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</w:pPr>
            <w:r w:rsidRPr="00A56446"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:rsidR="00675084" w:rsidRPr="00A56446" w:rsidRDefault="00675084" w:rsidP="00515291">
            <w:pPr>
              <w:jc w:val="center"/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</w:pPr>
            <w:r w:rsidRPr="00A56446"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A56446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675084" w:rsidRPr="00A56446" w:rsidRDefault="008501EE" w:rsidP="00515291">
            <w:pPr>
              <w:jc w:val="center"/>
              <w:rPr>
                <w:rFonts w:asciiTheme="minorHAnsi" w:eastAsia="Arial" w:hAnsiTheme="minorHAnsi" w:cs="Arial"/>
                <w:spacing w:val="-2"/>
                <w:sz w:val="26"/>
                <w:szCs w:val="26"/>
              </w:rPr>
            </w:pPr>
            <w:r>
              <w:rPr>
                <w:rFonts w:asciiTheme="minorHAnsi" w:eastAsia="Arial" w:hAnsiTheme="minorHAnsi" w:cs="Arial"/>
                <w:spacing w:val="-2"/>
                <w:sz w:val="26"/>
                <w:szCs w:val="26"/>
              </w:rPr>
              <w:t>1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8501EE" w:rsidP="00515291">
            <w:pPr>
              <w:rPr>
                <w:rFonts w:asciiTheme="minorHAnsi" w:eastAsia="Arial" w:hAnsiTheme="minorHAnsi" w:cs="Arial"/>
                <w:spacing w:val="-2"/>
                <w:sz w:val="26"/>
                <w:szCs w:val="26"/>
              </w:rPr>
            </w:pPr>
            <w:r>
              <w:rPr>
                <w:rFonts w:asciiTheme="minorHAnsi" w:eastAsia="Arial" w:hAnsiTheme="minorHAnsi" w:cs="Arial"/>
                <w:spacing w:val="-2"/>
                <w:sz w:val="26"/>
                <w:szCs w:val="26"/>
              </w:rPr>
              <w:t>01/05/2019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8501EE" w:rsidP="00515291">
            <w:pPr>
              <w:rPr>
                <w:rFonts w:asciiTheme="minorHAnsi" w:eastAsia="Arial" w:hAnsiTheme="minorHAnsi" w:cs="Arial"/>
                <w:spacing w:val="-2"/>
                <w:sz w:val="26"/>
                <w:szCs w:val="26"/>
              </w:rPr>
            </w:pPr>
            <w:r>
              <w:rPr>
                <w:rFonts w:asciiTheme="minorHAnsi" w:eastAsia="Arial" w:hAnsiTheme="minorHAnsi" w:cs="Arial"/>
                <w:spacing w:val="-2"/>
                <w:sz w:val="26"/>
                <w:szCs w:val="26"/>
              </w:rPr>
              <w:t>V Robinson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8501EE" w:rsidP="00515291">
            <w:pPr>
              <w:rPr>
                <w:rFonts w:asciiTheme="minorHAnsi" w:eastAsia="Arial" w:hAnsiTheme="minorHAnsi" w:cs="Arial"/>
                <w:spacing w:val="-2"/>
                <w:sz w:val="26"/>
                <w:szCs w:val="26"/>
              </w:rPr>
            </w:pPr>
            <w:r>
              <w:rPr>
                <w:rFonts w:asciiTheme="minorHAnsi" w:eastAsia="Arial" w:hAnsiTheme="minorHAnsi" w:cs="Arial"/>
                <w:spacing w:val="-2"/>
                <w:sz w:val="26"/>
                <w:szCs w:val="26"/>
              </w:rPr>
              <w:t>V Robinson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75084" w:rsidRPr="00A56446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75084" w:rsidRPr="00A56446" w:rsidTr="00515291">
        <w:trPr>
          <w:trHeight w:val="368"/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75084" w:rsidRPr="00A56446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:rsidR="00E85096" w:rsidRPr="00A56446" w:rsidRDefault="00E85096">
      <w:pPr>
        <w:rPr>
          <w:rFonts w:asciiTheme="minorHAnsi" w:hAnsiTheme="minorHAnsi" w:cs="Arial"/>
          <w:sz w:val="28"/>
          <w:szCs w:val="28"/>
        </w:rPr>
      </w:pPr>
    </w:p>
    <w:p w:rsidR="000858D5" w:rsidRPr="00A56446" w:rsidRDefault="00D05574">
      <w:pPr>
        <w:rPr>
          <w:rFonts w:asciiTheme="minorHAnsi" w:hAnsiTheme="minorHAnsi" w:cs="Arial"/>
          <w:b/>
          <w:sz w:val="28"/>
          <w:szCs w:val="28"/>
        </w:rPr>
      </w:pPr>
      <w:r w:rsidRPr="00A56446">
        <w:rPr>
          <w:rFonts w:asciiTheme="minorHAnsi" w:hAnsiTheme="minorHAnsi" w:cs="Arial"/>
          <w:b/>
          <w:sz w:val="28"/>
          <w:szCs w:val="28"/>
        </w:rPr>
        <w:t>Table of c</w:t>
      </w:r>
      <w:r w:rsidR="000858D5" w:rsidRPr="00A56446">
        <w:rPr>
          <w:rFonts w:asciiTheme="minorHAnsi" w:hAnsiTheme="minorHAnsi" w:cs="Arial"/>
          <w:b/>
          <w:sz w:val="28"/>
          <w:szCs w:val="28"/>
        </w:rPr>
        <w:t>ontents</w:t>
      </w:r>
    </w:p>
    <w:p w:rsidR="00107BC3" w:rsidRPr="00A56446" w:rsidRDefault="008D6799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r w:rsidRPr="00A56446">
        <w:rPr>
          <w:rFonts w:asciiTheme="minorHAnsi" w:hAnsiTheme="minorHAnsi"/>
          <w:sz w:val="20"/>
          <w:szCs w:val="28"/>
        </w:rPr>
        <w:fldChar w:fldCharType="begin"/>
      </w:r>
      <w:r w:rsidR="00D85E4D" w:rsidRPr="00A56446">
        <w:rPr>
          <w:rFonts w:asciiTheme="minorHAnsi" w:hAnsiTheme="minorHAnsi"/>
          <w:sz w:val="20"/>
          <w:szCs w:val="28"/>
        </w:rPr>
        <w:instrText xml:space="preserve"> TOC \o "1-3" \h \z \u </w:instrText>
      </w:r>
      <w:r w:rsidRPr="00A56446">
        <w:rPr>
          <w:rFonts w:asciiTheme="minorHAnsi" w:hAnsiTheme="minorHAnsi"/>
          <w:sz w:val="20"/>
          <w:szCs w:val="28"/>
        </w:rPr>
        <w:fldChar w:fldCharType="separate"/>
      </w:r>
      <w:hyperlink w:anchor="_Toc505696877" w:history="1">
        <w:r w:rsidR="00107BC3" w:rsidRPr="00A56446">
          <w:rPr>
            <w:rStyle w:val="Hyperlink"/>
            <w:rFonts w:asciiTheme="minorHAnsi" w:hAnsiTheme="minorHAnsi"/>
          </w:rPr>
          <w:t>1</w:t>
        </w:r>
        <w:r w:rsidR="00107BC3"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</w:rPr>
          <w:t>Introduction</w:t>
        </w:r>
        <w:r w:rsidR="00107BC3" w:rsidRPr="00A56446">
          <w:rPr>
            <w:rFonts w:asciiTheme="minorHAnsi" w:hAnsiTheme="minorHAnsi"/>
            <w:webHidden/>
          </w:rPr>
          <w:tab/>
        </w:r>
        <w:r w:rsidRPr="00A56446">
          <w:rPr>
            <w:rFonts w:asciiTheme="minorHAnsi" w:hAnsiTheme="minorHAnsi"/>
            <w:webHidden/>
          </w:rPr>
          <w:fldChar w:fldCharType="begin"/>
        </w:r>
        <w:r w:rsidR="00107BC3" w:rsidRPr="00A56446">
          <w:rPr>
            <w:rFonts w:asciiTheme="minorHAnsi" w:hAnsiTheme="minorHAnsi"/>
            <w:webHidden/>
          </w:rPr>
          <w:instrText xml:space="preserve"> PAGEREF _Toc505696877 \h </w:instrText>
        </w:r>
        <w:r w:rsidRPr="00A56446">
          <w:rPr>
            <w:rFonts w:asciiTheme="minorHAnsi" w:hAnsiTheme="minorHAnsi"/>
            <w:webHidden/>
          </w:rPr>
        </w:r>
        <w:r w:rsidRPr="00A56446">
          <w:rPr>
            <w:rFonts w:asciiTheme="minorHAnsi" w:hAnsiTheme="minorHAnsi"/>
            <w:webHidden/>
          </w:rPr>
          <w:fldChar w:fldCharType="separate"/>
        </w:r>
        <w:r w:rsidR="00107BC3" w:rsidRPr="00A56446">
          <w:rPr>
            <w:rFonts w:asciiTheme="minorHAnsi" w:hAnsiTheme="minorHAnsi"/>
            <w:webHidden/>
          </w:rPr>
          <w:t>3</w:t>
        </w:r>
        <w:r w:rsidRPr="00A56446">
          <w:rPr>
            <w:rFonts w:asciiTheme="minorHAnsi" w:hAnsiTheme="minorHAnsi"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78" w:history="1">
        <w:r w:rsidR="00107BC3" w:rsidRPr="00A56446">
          <w:rPr>
            <w:rStyle w:val="Hyperlink"/>
            <w:rFonts w:asciiTheme="minorHAnsi" w:hAnsiTheme="minorHAnsi"/>
            <w:noProof/>
          </w:rPr>
          <w:t>1.1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Policy statement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_Toc505696878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3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79" w:history="1">
        <w:r w:rsidR="00107BC3" w:rsidRPr="00A56446">
          <w:rPr>
            <w:rStyle w:val="Hyperlink"/>
            <w:rFonts w:asciiTheme="minorHAnsi" w:hAnsiTheme="minorHAnsi"/>
            <w:noProof/>
          </w:rPr>
          <w:t>1.2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Status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_Toc505696879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3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80" w:history="1">
        <w:r w:rsidR="00107BC3" w:rsidRPr="00A56446">
          <w:rPr>
            <w:rStyle w:val="Hyperlink"/>
            <w:rFonts w:asciiTheme="minorHAnsi" w:hAnsiTheme="minorHAnsi"/>
            <w:noProof/>
          </w:rPr>
          <w:t>1.3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Training and support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_Toc505696880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3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881" w:history="1">
        <w:r w:rsidR="00107BC3" w:rsidRPr="00A56446">
          <w:rPr>
            <w:rStyle w:val="Hyperlink"/>
            <w:rFonts w:asciiTheme="minorHAnsi" w:hAnsiTheme="minorHAnsi"/>
          </w:rPr>
          <w:t>2</w:t>
        </w:r>
        <w:r w:rsidR="00107BC3"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</w:rPr>
          <w:t>Scope</w:t>
        </w:r>
        <w:r w:rsidR="00107BC3" w:rsidRPr="00A56446">
          <w:rPr>
            <w:rFonts w:asciiTheme="minorHAnsi" w:hAnsiTheme="minorHAnsi"/>
            <w:webHidden/>
          </w:rPr>
          <w:tab/>
        </w:r>
        <w:r w:rsidRPr="00A56446">
          <w:rPr>
            <w:rFonts w:asciiTheme="minorHAnsi" w:hAnsiTheme="minorHAnsi"/>
            <w:webHidden/>
          </w:rPr>
          <w:fldChar w:fldCharType="begin"/>
        </w:r>
        <w:r w:rsidR="00107BC3" w:rsidRPr="00A56446">
          <w:rPr>
            <w:rFonts w:asciiTheme="minorHAnsi" w:hAnsiTheme="minorHAnsi"/>
            <w:webHidden/>
          </w:rPr>
          <w:instrText xml:space="preserve"> PAGEREF _Toc505696881 \h </w:instrText>
        </w:r>
        <w:r w:rsidRPr="00A56446">
          <w:rPr>
            <w:rFonts w:asciiTheme="minorHAnsi" w:hAnsiTheme="minorHAnsi"/>
            <w:webHidden/>
          </w:rPr>
        </w:r>
        <w:r w:rsidRPr="00A56446">
          <w:rPr>
            <w:rFonts w:asciiTheme="minorHAnsi" w:hAnsiTheme="minorHAnsi"/>
            <w:webHidden/>
          </w:rPr>
          <w:fldChar w:fldCharType="separate"/>
        </w:r>
        <w:r w:rsidR="00107BC3" w:rsidRPr="00A56446">
          <w:rPr>
            <w:rFonts w:asciiTheme="minorHAnsi" w:hAnsiTheme="minorHAnsi"/>
            <w:webHidden/>
          </w:rPr>
          <w:t>3</w:t>
        </w:r>
        <w:r w:rsidRPr="00A56446">
          <w:rPr>
            <w:rFonts w:asciiTheme="minorHAnsi" w:hAnsiTheme="minorHAnsi"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82" w:history="1">
        <w:r w:rsidR="00107BC3" w:rsidRPr="00A56446">
          <w:rPr>
            <w:rStyle w:val="Hyperlink"/>
            <w:rFonts w:asciiTheme="minorHAnsi" w:hAnsiTheme="minorHAnsi"/>
            <w:noProof/>
          </w:rPr>
          <w:t>2.1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Who it applies to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_Toc505696882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3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83" w:history="1">
        <w:r w:rsidR="00107BC3" w:rsidRPr="00A56446">
          <w:rPr>
            <w:rStyle w:val="Hyperlink"/>
            <w:rFonts w:asciiTheme="minorHAnsi" w:hAnsiTheme="minorHAnsi"/>
            <w:noProof/>
          </w:rPr>
          <w:t>2.2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 xml:space="preserve">Why </w:t>
        </w:r>
        <w:r w:rsidR="009132F2" w:rsidRPr="00A56446">
          <w:rPr>
            <w:rStyle w:val="Hyperlink"/>
            <w:rFonts w:asciiTheme="minorHAnsi" w:hAnsiTheme="minorHAnsi"/>
            <w:noProof/>
          </w:rPr>
          <w:t>and how it applies to them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_Toc505696883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3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884" w:history="1">
        <w:r w:rsidR="00107BC3" w:rsidRPr="00A56446">
          <w:rPr>
            <w:rStyle w:val="Hyperlink"/>
            <w:rFonts w:asciiTheme="minorHAnsi" w:hAnsiTheme="minorHAnsi"/>
          </w:rPr>
          <w:t>3</w:t>
        </w:r>
        <w:r w:rsidR="00107BC3"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9132F2" w:rsidRPr="00A56446">
          <w:rPr>
            <w:rStyle w:val="Hyperlink"/>
            <w:rFonts w:asciiTheme="minorHAnsi" w:hAnsiTheme="minorHAnsi"/>
          </w:rPr>
          <w:t>Definition of t</w:t>
        </w:r>
        <w:r w:rsidR="00107BC3" w:rsidRPr="00A56446">
          <w:rPr>
            <w:rStyle w:val="Hyperlink"/>
            <w:rFonts w:asciiTheme="minorHAnsi" w:hAnsiTheme="minorHAnsi"/>
          </w:rPr>
          <w:t>erms</w:t>
        </w:r>
        <w:r w:rsidR="00107BC3" w:rsidRPr="00A56446">
          <w:rPr>
            <w:rFonts w:asciiTheme="minorHAnsi" w:hAnsiTheme="minorHAnsi"/>
            <w:webHidden/>
          </w:rPr>
          <w:tab/>
        </w:r>
        <w:r w:rsidRPr="00A56446">
          <w:rPr>
            <w:rFonts w:asciiTheme="minorHAnsi" w:hAnsiTheme="minorHAnsi"/>
            <w:webHidden/>
          </w:rPr>
          <w:fldChar w:fldCharType="begin"/>
        </w:r>
        <w:r w:rsidR="00107BC3" w:rsidRPr="00A56446">
          <w:rPr>
            <w:rFonts w:asciiTheme="minorHAnsi" w:hAnsiTheme="minorHAnsi"/>
            <w:webHidden/>
          </w:rPr>
          <w:instrText xml:space="preserve"> PAGEREF _Toc505696884 \h </w:instrText>
        </w:r>
        <w:r w:rsidRPr="00A56446">
          <w:rPr>
            <w:rFonts w:asciiTheme="minorHAnsi" w:hAnsiTheme="minorHAnsi"/>
            <w:webHidden/>
          </w:rPr>
        </w:r>
        <w:r w:rsidRPr="00A56446">
          <w:rPr>
            <w:rFonts w:asciiTheme="minorHAnsi" w:hAnsiTheme="minorHAnsi"/>
            <w:webHidden/>
          </w:rPr>
          <w:fldChar w:fldCharType="separate"/>
        </w:r>
        <w:r w:rsidR="00107BC3" w:rsidRPr="00A56446">
          <w:rPr>
            <w:rFonts w:asciiTheme="minorHAnsi" w:hAnsiTheme="minorHAnsi"/>
            <w:webHidden/>
          </w:rPr>
          <w:t>4</w:t>
        </w:r>
        <w:r w:rsidRPr="00A56446">
          <w:rPr>
            <w:rFonts w:asciiTheme="minorHAnsi" w:hAnsiTheme="minorHAnsi"/>
            <w:webHidden/>
          </w:rPr>
          <w:fldChar w:fldCharType="end"/>
        </w:r>
      </w:hyperlink>
    </w:p>
    <w:p w:rsidR="00966AC0" w:rsidRPr="00A56446" w:rsidRDefault="008D6799" w:rsidP="00DA103A">
      <w:pPr>
        <w:pStyle w:val="TOC2"/>
        <w:rPr>
          <w:rStyle w:val="Hyperlink"/>
          <w:rFonts w:asciiTheme="minorHAnsi" w:hAnsiTheme="minorHAnsi"/>
          <w:noProof/>
        </w:rPr>
      </w:pPr>
      <w:r w:rsidRPr="00A56446">
        <w:rPr>
          <w:rFonts w:asciiTheme="minorHAnsi" w:hAnsiTheme="minorHAnsi"/>
        </w:rPr>
        <w:fldChar w:fldCharType="begin"/>
      </w:r>
      <w:r w:rsidR="00C91E5D" w:rsidRPr="00A56446">
        <w:rPr>
          <w:rFonts w:asciiTheme="minorHAnsi" w:hAnsiTheme="minorHAnsi"/>
        </w:rPr>
        <w:instrText xml:space="preserve"> HYPERLINK \l "_Toc505696885" </w:instrText>
      </w:r>
      <w:r w:rsidRPr="00A56446">
        <w:rPr>
          <w:rFonts w:asciiTheme="minorHAnsi" w:hAnsiTheme="minorHAnsi"/>
        </w:rPr>
        <w:fldChar w:fldCharType="separate"/>
      </w:r>
      <w:r w:rsidR="00107BC3" w:rsidRPr="00A56446">
        <w:rPr>
          <w:rStyle w:val="Hyperlink"/>
          <w:rFonts w:asciiTheme="minorHAnsi" w:hAnsiTheme="minorHAnsi"/>
          <w:noProof/>
        </w:rPr>
        <w:t>3.1</w:t>
      </w:r>
      <w:r w:rsidR="00107BC3" w:rsidRPr="00A56446">
        <w:rPr>
          <w:rFonts w:asciiTheme="minorHAnsi" w:hAnsiTheme="minorHAnsi" w:cstheme="minorBidi"/>
          <w:noProof/>
          <w:sz w:val="24"/>
          <w:szCs w:val="24"/>
          <w:lang w:eastAsia="en-GB"/>
        </w:rPr>
        <w:tab/>
      </w:r>
      <w:r w:rsidR="00807595" w:rsidRPr="00A56446">
        <w:rPr>
          <w:rStyle w:val="Hyperlink"/>
          <w:rFonts w:asciiTheme="minorHAnsi" w:hAnsiTheme="minorHAnsi"/>
          <w:noProof/>
        </w:rPr>
        <w:t xml:space="preserve">Data </w:t>
      </w:r>
      <w:r w:rsidR="00966AC0" w:rsidRPr="00A56446">
        <w:rPr>
          <w:rStyle w:val="Hyperlink"/>
          <w:rFonts w:asciiTheme="minorHAnsi" w:hAnsiTheme="minorHAnsi"/>
          <w:noProof/>
        </w:rPr>
        <w:t>Protection Bill</w:t>
      </w:r>
      <w:r w:rsidR="00397377" w:rsidRPr="00A56446">
        <w:rPr>
          <w:rStyle w:val="Hyperlink"/>
          <w:rFonts w:asciiTheme="minorHAnsi" w:hAnsiTheme="minorHAnsi"/>
          <w:noProof/>
        </w:rPr>
        <w:tab/>
        <w:t>4</w:t>
      </w:r>
    </w:p>
    <w:p w:rsidR="00107BC3" w:rsidRPr="00A56446" w:rsidRDefault="00966AC0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r w:rsidRPr="00A56446">
        <w:rPr>
          <w:rStyle w:val="Hyperlink"/>
          <w:rFonts w:asciiTheme="minorHAnsi" w:hAnsiTheme="minorHAnsi"/>
          <w:noProof/>
        </w:rPr>
        <w:t>3.2</w:t>
      </w:r>
      <w:r w:rsidRPr="00A56446">
        <w:rPr>
          <w:rStyle w:val="Hyperlink"/>
          <w:rFonts w:asciiTheme="minorHAnsi" w:hAnsiTheme="minorHAnsi"/>
          <w:noProof/>
        </w:rPr>
        <w:tab/>
        <w:t xml:space="preserve">Data </w:t>
      </w:r>
      <w:r w:rsidR="00807595" w:rsidRPr="00A56446">
        <w:rPr>
          <w:rStyle w:val="Hyperlink"/>
          <w:rFonts w:asciiTheme="minorHAnsi" w:hAnsiTheme="minorHAnsi"/>
          <w:noProof/>
        </w:rPr>
        <w:t>Protection O</w:t>
      </w:r>
      <w:r w:rsidR="00107BC3" w:rsidRPr="00A56446">
        <w:rPr>
          <w:rStyle w:val="Hyperlink"/>
          <w:rFonts w:asciiTheme="minorHAnsi" w:hAnsiTheme="minorHAnsi"/>
          <w:noProof/>
        </w:rPr>
        <w:t>fficer</w:t>
      </w:r>
      <w:r w:rsidR="00107BC3" w:rsidRPr="00A56446">
        <w:rPr>
          <w:rFonts w:asciiTheme="minorHAnsi" w:hAnsiTheme="minorHAnsi"/>
          <w:noProof/>
          <w:webHidden/>
        </w:rPr>
        <w:tab/>
      </w:r>
      <w:r w:rsidR="008D6799" w:rsidRPr="00A56446">
        <w:rPr>
          <w:rFonts w:asciiTheme="minorHAnsi" w:hAnsiTheme="minorHAnsi"/>
          <w:noProof/>
          <w:webHidden/>
        </w:rPr>
        <w:fldChar w:fldCharType="begin"/>
      </w:r>
      <w:r w:rsidR="00107BC3" w:rsidRPr="00A56446">
        <w:rPr>
          <w:rFonts w:asciiTheme="minorHAnsi" w:hAnsiTheme="minorHAnsi"/>
          <w:noProof/>
          <w:webHidden/>
        </w:rPr>
        <w:instrText xml:space="preserve"> PAGEREF _Toc505696885 \h </w:instrText>
      </w:r>
      <w:r w:rsidR="008D6799" w:rsidRPr="00A56446">
        <w:rPr>
          <w:rFonts w:asciiTheme="minorHAnsi" w:hAnsiTheme="minorHAnsi"/>
          <w:noProof/>
          <w:webHidden/>
        </w:rPr>
      </w:r>
      <w:r w:rsidR="008D6799" w:rsidRPr="00A56446">
        <w:rPr>
          <w:rFonts w:asciiTheme="minorHAnsi" w:hAnsiTheme="minorHAnsi"/>
          <w:noProof/>
          <w:webHidden/>
        </w:rPr>
        <w:fldChar w:fldCharType="separate"/>
      </w:r>
      <w:r w:rsidR="00107BC3" w:rsidRPr="00A56446">
        <w:rPr>
          <w:rFonts w:asciiTheme="minorHAnsi" w:hAnsiTheme="minorHAnsi"/>
          <w:noProof/>
          <w:webHidden/>
        </w:rPr>
        <w:t>4</w:t>
      </w:r>
      <w:r w:rsidR="008D6799" w:rsidRPr="00A56446">
        <w:rPr>
          <w:rFonts w:asciiTheme="minorHAnsi" w:hAnsiTheme="minorHAnsi"/>
          <w:noProof/>
          <w:webHidden/>
        </w:rPr>
        <w:fldChar w:fldCharType="end"/>
      </w:r>
      <w:r w:rsidR="008D6799" w:rsidRPr="00A56446">
        <w:rPr>
          <w:rFonts w:asciiTheme="minorHAnsi" w:hAnsiTheme="minorHAnsi"/>
          <w:noProof/>
        </w:rPr>
        <w:fldChar w:fldCharType="end"/>
      </w:r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86" w:history="1">
        <w:r w:rsidR="00966AC0" w:rsidRPr="00A56446">
          <w:rPr>
            <w:rStyle w:val="Hyperlink"/>
            <w:rFonts w:asciiTheme="minorHAnsi" w:hAnsiTheme="minorHAnsi"/>
            <w:noProof/>
          </w:rPr>
          <w:t>3.3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9132F2" w:rsidRPr="00A56446">
          <w:rPr>
            <w:rStyle w:val="Hyperlink"/>
            <w:rFonts w:asciiTheme="minorHAnsi" w:hAnsiTheme="minorHAnsi"/>
            <w:noProof/>
          </w:rPr>
          <w:t xml:space="preserve">Data </w:t>
        </w:r>
        <w:r w:rsidR="00807595" w:rsidRPr="00A56446">
          <w:rPr>
            <w:rStyle w:val="Hyperlink"/>
            <w:rFonts w:asciiTheme="minorHAnsi" w:hAnsiTheme="minorHAnsi"/>
            <w:noProof/>
          </w:rPr>
          <w:t>Protection A</w:t>
        </w:r>
        <w:r w:rsidR="00107BC3" w:rsidRPr="00A56446">
          <w:rPr>
            <w:rStyle w:val="Hyperlink"/>
            <w:rFonts w:asciiTheme="minorHAnsi" w:hAnsiTheme="minorHAnsi"/>
            <w:noProof/>
          </w:rPr>
          <w:t>uthority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_Toc505696886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4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87" w:history="1">
        <w:r w:rsidR="00966AC0" w:rsidRPr="00A56446">
          <w:rPr>
            <w:rStyle w:val="Hyperlink"/>
            <w:rFonts w:asciiTheme="minorHAnsi" w:hAnsiTheme="minorHAnsi"/>
            <w:noProof/>
          </w:rPr>
          <w:t>3.4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807595" w:rsidRPr="00A56446">
          <w:rPr>
            <w:rStyle w:val="Hyperlink"/>
            <w:rFonts w:asciiTheme="minorHAnsi" w:hAnsiTheme="minorHAnsi"/>
            <w:noProof/>
          </w:rPr>
          <w:t>Data C</w:t>
        </w:r>
        <w:r w:rsidR="00107BC3" w:rsidRPr="00A56446">
          <w:rPr>
            <w:rStyle w:val="Hyperlink"/>
            <w:rFonts w:asciiTheme="minorHAnsi" w:hAnsiTheme="minorHAnsi"/>
            <w:noProof/>
          </w:rPr>
          <w:t>ontroller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_Toc505696887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4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88" w:history="1">
        <w:r w:rsidR="00966AC0" w:rsidRPr="00A56446">
          <w:rPr>
            <w:rStyle w:val="Hyperlink"/>
            <w:rFonts w:asciiTheme="minorHAnsi" w:hAnsiTheme="minorHAnsi"/>
            <w:noProof/>
          </w:rPr>
          <w:t>3.5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807595" w:rsidRPr="00A56446">
          <w:rPr>
            <w:rStyle w:val="Hyperlink"/>
            <w:rFonts w:asciiTheme="minorHAnsi" w:hAnsiTheme="minorHAnsi"/>
            <w:noProof/>
          </w:rPr>
          <w:t>Data P</w:t>
        </w:r>
        <w:r w:rsidR="00107BC3" w:rsidRPr="00A56446">
          <w:rPr>
            <w:rStyle w:val="Hyperlink"/>
            <w:rFonts w:asciiTheme="minorHAnsi" w:hAnsiTheme="minorHAnsi"/>
            <w:noProof/>
          </w:rPr>
          <w:t>rocessor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_Toc505696888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4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89" w:history="1">
        <w:r w:rsidR="00966AC0" w:rsidRPr="00A56446">
          <w:rPr>
            <w:rStyle w:val="Hyperlink"/>
            <w:rFonts w:asciiTheme="minorHAnsi" w:hAnsiTheme="minorHAnsi"/>
            <w:noProof/>
          </w:rPr>
          <w:t>3.6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807595" w:rsidRPr="00A56446">
          <w:rPr>
            <w:rStyle w:val="Hyperlink"/>
            <w:rFonts w:asciiTheme="minorHAnsi" w:hAnsiTheme="minorHAnsi"/>
            <w:noProof/>
          </w:rPr>
          <w:t>Data S</w:t>
        </w:r>
        <w:r w:rsidR="00107BC3" w:rsidRPr="00A56446">
          <w:rPr>
            <w:rStyle w:val="Hyperlink"/>
            <w:rFonts w:asciiTheme="minorHAnsi" w:hAnsiTheme="minorHAnsi"/>
            <w:noProof/>
          </w:rPr>
          <w:t>ubject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_Toc505696889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4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90" w:history="1">
        <w:r w:rsidR="00966AC0" w:rsidRPr="00A56446">
          <w:rPr>
            <w:rStyle w:val="Hyperlink"/>
            <w:rFonts w:asciiTheme="minorHAnsi" w:hAnsiTheme="minorHAnsi"/>
            <w:noProof/>
          </w:rPr>
          <w:t>3.7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9132F2" w:rsidRPr="00A56446">
          <w:rPr>
            <w:rStyle w:val="Hyperlink"/>
            <w:rFonts w:asciiTheme="minorHAnsi" w:hAnsiTheme="minorHAnsi"/>
            <w:noProof/>
          </w:rPr>
          <w:t>Personal d</w:t>
        </w:r>
        <w:r w:rsidR="00107BC3" w:rsidRPr="00A56446">
          <w:rPr>
            <w:rStyle w:val="Hyperlink"/>
            <w:rFonts w:asciiTheme="minorHAnsi" w:hAnsiTheme="minorHAnsi"/>
            <w:noProof/>
          </w:rPr>
          <w:t>ata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_Toc505696890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4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91" w:history="1">
        <w:r w:rsidR="00966AC0" w:rsidRPr="00A56446">
          <w:rPr>
            <w:rStyle w:val="Hyperlink"/>
            <w:rFonts w:asciiTheme="minorHAnsi" w:hAnsiTheme="minorHAnsi"/>
            <w:noProof/>
          </w:rPr>
          <w:t>3.8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Processing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_Toc505696891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4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92" w:history="1">
        <w:r w:rsidR="00966AC0" w:rsidRPr="00A56446">
          <w:rPr>
            <w:rStyle w:val="Hyperlink"/>
            <w:rFonts w:asciiTheme="minorHAnsi" w:hAnsiTheme="minorHAnsi"/>
            <w:noProof/>
          </w:rPr>
          <w:t>3.9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Recipient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_Toc505696892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4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893" w:history="1">
        <w:r w:rsidR="00107BC3" w:rsidRPr="00A56446">
          <w:rPr>
            <w:rStyle w:val="Hyperlink"/>
            <w:rFonts w:asciiTheme="minorHAnsi" w:hAnsiTheme="minorHAnsi"/>
          </w:rPr>
          <w:t>4</w:t>
        </w:r>
        <w:r w:rsidR="00107BC3"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</w:rPr>
          <w:t xml:space="preserve">The build-up to </w:t>
        </w:r>
        <w:r w:rsidR="00807595" w:rsidRPr="00A56446">
          <w:rPr>
            <w:rStyle w:val="Hyperlink"/>
            <w:rFonts w:asciiTheme="minorHAnsi" w:hAnsiTheme="minorHAnsi"/>
          </w:rPr>
          <w:t xml:space="preserve">the </w:t>
        </w:r>
        <w:r w:rsidR="00107BC3" w:rsidRPr="00A56446">
          <w:rPr>
            <w:rStyle w:val="Hyperlink"/>
            <w:rFonts w:asciiTheme="minorHAnsi" w:hAnsiTheme="minorHAnsi"/>
          </w:rPr>
          <w:t>GDPR</w:t>
        </w:r>
        <w:r w:rsidR="00107BC3" w:rsidRPr="00A56446">
          <w:rPr>
            <w:rFonts w:asciiTheme="minorHAnsi" w:hAnsiTheme="minorHAnsi"/>
            <w:webHidden/>
          </w:rPr>
          <w:tab/>
        </w:r>
        <w:r w:rsidRPr="00A56446">
          <w:rPr>
            <w:rFonts w:asciiTheme="minorHAnsi" w:hAnsiTheme="minorHAnsi"/>
            <w:webHidden/>
          </w:rPr>
          <w:fldChar w:fldCharType="begin"/>
        </w:r>
        <w:r w:rsidR="00107BC3" w:rsidRPr="00A56446">
          <w:rPr>
            <w:rFonts w:asciiTheme="minorHAnsi" w:hAnsiTheme="minorHAnsi"/>
            <w:webHidden/>
          </w:rPr>
          <w:instrText xml:space="preserve"> PAGEREF _Toc505696893 \h </w:instrText>
        </w:r>
        <w:r w:rsidRPr="00A56446">
          <w:rPr>
            <w:rFonts w:asciiTheme="minorHAnsi" w:hAnsiTheme="minorHAnsi"/>
            <w:webHidden/>
          </w:rPr>
        </w:r>
        <w:r w:rsidRPr="00A56446">
          <w:rPr>
            <w:rFonts w:asciiTheme="minorHAnsi" w:hAnsiTheme="minorHAnsi"/>
            <w:webHidden/>
          </w:rPr>
          <w:fldChar w:fldCharType="separate"/>
        </w:r>
        <w:r w:rsidR="00107BC3" w:rsidRPr="00A56446">
          <w:rPr>
            <w:rFonts w:asciiTheme="minorHAnsi" w:hAnsiTheme="minorHAnsi"/>
            <w:webHidden/>
          </w:rPr>
          <w:t>5</w:t>
        </w:r>
        <w:r w:rsidRPr="00A56446">
          <w:rPr>
            <w:rFonts w:asciiTheme="minorHAnsi" w:hAnsiTheme="minorHAnsi"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94" w:history="1">
        <w:r w:rsidR="00107BC3" w:rsidRPr="00A56446">
          <w:rPr>
            <w:rStyle w:val="Hyperlink"/>
            <w:rFonts w:asciiTheme="minorHAnsi" w:hAnsiTheme="minorHAnsi"/>
            <w:noProof/>
          </w:rPr>
          <w:t>4.1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Background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_Toc505696894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5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95" w:history="1">
        <w:r w:rsidR="00107BC3" w:rsidRPr="00A56446">
          <w:rPr>
            <w:rStyle w:val="Hyperlink"/>
            <w:rFonts w:asciiTheme="minorHAnsi" w:hAnsiTheme="minorHAnsi"/>
            <w:noProof/>
          </w:rPr>
          <w:t>4.2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NHS Digital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_Toc505696895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5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96" w:history="1">
        <w:r w:rsidR="00107BC3" w:rsidRPr="00A56446">
          <w:rPr>
            <w:rStyle w:val="Hyperlink"/>
            <w:rFonts w:asciiTheme="minorHAnsi" w:hAnsiTheme="minorHAnsi"/>
            <w:noProof/>
          </w:rPr>
          <w:t>4.3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Aim of the GDPR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_Toc505696896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5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DA103A" w:rsidRPr="00A56446" w:rsidRDefault="008D6799" w:rsidP="00DA103A">
      <w:pPr>
        <w:pStyle w:val="TOC2"/>
        <w:rPr>
          <w:rFonts w:asciiTheme="minorHAnsi" w:hAnsiTheme="minorHAnsi"/>
          <w:noProof/>
        </w:rPr>
      </w:pPr>
      <w:hyperlink w:anchor="_Toc505696897" w:history="1">
        <w:r w:rsidR="00107BC3" w:rsidRPr="00A56446">
          <w:rPr>
            <w:rStyle w:val="Hyperlink"/>
            <w:rFonts w:asciiTheme="minorHAnsi" w:hAnsiTheme="minorHAnsi"/>
            <w:noProof/>
          </w:rPr>
          <w:t>4.4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Brexit and the GDPR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_Toc505696897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5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966AC0" w:rsidRPr="00A56446" w:rsidRDefault="00397377" w:rsidP="00DA103A">
      <w:pPr>
        <w:pStyle w:val="TOC2"/>
        <w:rPr>
          <w:rFonts w:asciiTheme="minorHAnsi" w:hAnsiTheme="minorHAnsi"/>
        </w:rPr>
      </w:pPr>
      <w:r w:rsidRPr="00A56446">
        <w:rPr>
          <w:rFonts w:asciiTheme="minorHAnsi" w:hAnsiTheme="minorHAnsi"/>
        </w:rPr>
        <w:t>4.5</w:t>
      </w:r>
      <w:r w:rsidRPr="00A56446">
        <w:rPr>
          <w:rFonts w:asciiTheme="minorHAnsi" w:hAnsiTheme="minorHAnsi"/>
        </w:rPr>
        <w:tab/>
      </w:r>
      <w:r w:rsidR="00966AC0" w:rsidRPr="00A56446">
        <w:rPr>
          <w:rFonts w:asciiTheme="minorHAnsi" w:hAnsiTheme="minorHAnsi"/>
        </w:rPr>
        <w:t>GDPR and DPA18</w:t>
      </w:r>
      <w:r w:rsidR="00966AC0" w:rsidRPr="00A56446">
        <w:rPr>
          <w:rFonts w:asciiTheme="minorHAnsi" w:hAnsiTheme="minorHAnsi"/>
        </w:rPr>
        <w:tab/>
        <w:t xml:space="preserve">    5</w:t>
      </w:r>
    </w:p>
    <w:p w:rsidR="00107BC3" w:rsidRPr="00A56446" w:rsidRDefault="008D6799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898" w:history="1">
        <w:r w:rsidR="00107BC3" w:rsidRPr="00A56446">
          <w:rPr>
            <w:rStyle w:val="Hyperlink"/>
            <w:rFonts w:asciiTheme="minorHAnsi" w:hAnsiTheme="minorHAnsi"/>
          </w:rPr>
          <w:t>5</w:t>
        </w:r>
        <w:r w:rsidR="00107BC3"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</w:rPr>
          <w:t>Roles of data controllers and processors</w:t>
        </w:r>
        <w:r w:rsidR="00107BC3" w:rsidRPr="00A56446">
          <w:rPr>
            <w:rFonts w:asciiTheme="minorHAnsi" w:hAnsiTheme="minorHAnsi"/>
            <w:webHidden/>
          </w:rPr>
          <w:tab/>
        </w:r>
        <w:r w:rsidRPr="00A56446">
          <w:rPr>
            <w:rFonts w:asciiTheme="minorHAnsi" w:hAnsiTheme="minorHAnsi"/>
            <w:webHidden/>
          </w:rPr>
          <w:fldChar w:fldCharType="begin"/>
        </w:r>
        <w:r w:rsidR="00107BC3" w:rsidRPr="00A56446">
          <w:rPr>
            <w:rFonts w:asciiTheme="minorHAnsi" w:hAnsiTheme="minorHAnsi"/>
            <w:webHidden/>
          </w:rPr>
          <w:instrText xml:space="preserve"> PAGEREF _Toc505696898 \h </w:instrText>
        </w:r>
        <w:r w:rsidRPr="00A56446">
          <w:rPr>
            <w:rFonts w:asciiTheme="minorHAnsi" w:hAnsiTheme="minorHAnsi"/>
            <w:webHidden/>
          </w:rPr>
        </w:r>
        <w:r w:rsidRPr="00A56446">
          <w:rPr>
            <w:rFonts w:asciiTheme="minorHAnsi" w:hAnsiTheme="minorHAnsi"/>
            <w:webHidden/>
          </w:rPr>
          <w:fldChar w:fldCharType="separate"/>
        </w:r>
        <w:r w:rsidR="00107BC3" w:rsidRPr="00A56446">
          <w:rPr>
            <w:rFonts w:asciiTheme="minorHAnsi" w:hAnsiTheme="minorHAnsi"/>
            <w:webHidden/>
          </w:rPr>
          <w:t>6</w:t>
        </w:r>
        <w:r w:rsidRPr="00A56446">
          <w:rPr>
            <w:rFonts w:asciiTheme="minorHAnsi" w:hAnsiTheme="minorHAnsi"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99" w:history="1">
        <w:r w:rsidR="00107BC3" w:rsidRPr="00A56446">
          <w:rPr>
            <w:rStyle w:val="Hyperlink"/>
            <w:rFonts w:asciiTheme="minorHAnsi" w:hAnsiTheme="minorHAnsi"/>
            <w:noProof/>
          </w:rPr>
          <w:t>5.1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9132F2" w:rsidRPr="00A56446">
          <w:rPr>
            <w:rStyle w:val="Hyperlink"/>
            <w:rFonts w:asciiTheme="minorHAnsi" w:hAnsiTheme="minorHAnsi"/>
            <w:noProof/>
          </w:rPr>
          <w:t>Data c</w:t>
        </w:r>
        <w:r w:rsidR="00107BC3" w:rsidRPr="00A56446">
          <w:rPr>
            <w:rStyle w:val="Hyperlink"/>
            <w:rFonts w:asciiTheme="minorHAnsi" w:hAnsiTheme="minorHAnsi"/>
            <w:noProof/>
          </w:rPr>
          <w:t>ontroller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_Toc505696899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6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00" w:history="1">
        <w:r w:rsidR="00107BC3" w:rsidRPr="00A56446">
          <w:rPr>
            <w:rStyle w:val="Hyperlink"/>
            <w:rFonts w:asciiTheme="minorHAnsi" w:hAnsiTheme="minorHAnsi"/>
            <w:noProof/>
          </w:rPr>
          <w:t>5.2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 xml:space="preserve">Data </w:t>
        </w:r>
        <w:r w:rsidR="009132F2" w:rsidRPr="00A56446">
          <w:rPr>
            <w:rStyle w:val="Hyperlink"/>
            <w:rFonts w:asciiTheme="minorHAnsi" w:hAnsiTheme="minorHAnsi"/>
            <w:noProof/>
          </w:rPr>
          <w:t>p</w:t>
        </w:r>
        <w:r w:rsidR="00107BC3" w:rsidRPr="00A56446">
          <w:rPr>
            <w:rStyle w:val="Hyperlink"/>
            <w:rFonts w:asciiTheme="minorHAnsi" w:hAnsiTheme="minorHAnsi"/>
            <w:noProof/>
          </w:rPr>
          <w:t>rocessor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_Toc505696900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6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901" w:history="1">
        <w:r w:rsidR="00107BC3" w:rsidRPr="00A56446">
          <w:rPr>
            <w:rStyle w:val="Hyperlink"/>
            <w:rFonts w:asciiTheme="minorHAnsi" w:hAnsiTheme="minorHAnsi"/>
          </w:rPr>
          <w:t>6</w:t>
        </w:r>
        <w:r w:rsidR="00107BC3"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</w:rPr>
          <w:t>Access</w:t>
        </w:r>
        <w:r w:rsidR="00107BC3" w:rsidRPr="00A56446">
          <w:rPr>
            <w:rFonts w:asciiTheme="minorHAnsi" w:hAnsiTheme="minorHAnsi"/>
            <w:webHidden/>
          </w:rPr>
          <w:tab/>
        </w:r>
        <w:r w:rsidRPr="00A56446">
          <w:rPr>
            <w:rFonts w:asciiTheme="minorHAnsi" w:hAnsiTheme="minorHAnsi"/>
            <w:webHidden/>
          </w:rPr>
          <w:fldChar w:fldCharType="begin"/>
        </w:r>
        <w:r w:rsidR="00107BC3" w:rsidRPr="00A56446">
          <w:rPr>
            <w:rFonts w:asciiTheme="minorHAnsi" w:hAnsiTheme="minorHAnsi"/>
            <w:webHidden/>
          </w:rPr>
          <w:instrText xml:space="preserve"> PAGEREF _Toc505696901 \h </w:instrText>
        </w:r>
        <w:r w:rsidRPr="00A56446">
          <w:rPr>
            <w:rFonts w:asciiTheme="minorHAnsi" w:hAnsiTheme="minorHAnsi"/>
            <w:webHidden/>
          </w:rPr>
        </w:r>
        <w:r w:rsidRPr="00A56446">
          <w:rPr>
            <w:rFonts w:asciiTheme="minorHAnsi" w:hAnsiTheme="minorHAnsi"/>
            <w:webHidden/>
          </w:rPr>
          <w:fldChar w:fldCharType="separate"/>
        </w:r>
        <w:r w:rsidR="00107BC3" w:rsidRPr="00A56446">
          <w:rPr>
            <w:rFonts w:asciiTheme="minorHAnsi" w:hAnsiTheme="minorHAnsi"/>
            <w:webHidden/>
          </w:rPr>
          <w:t>7</w:t>
        </w:r>
        <w:r w:rsidRPr="00A56446">
          <w:rPr>
            <w:rFonts w:asciiTheme="minorHAnsi" w:hAnsiTheme="minorHAnsi"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02" w:history="1">
        <w:r w:rsidR="00107BC3" w:rsidRPr="00A56446">
          <w:rPr>
            <w:rStyle w:val="Hyperlink"/>
            <w:rFonts w:asciiTheme="minorHAnsi" w:hAnsiTheme="minorHAnsi"/>
            <w:noProof/>
          </w:rPr>
          <w:t>6.1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Data subject’s rights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_Toc505696902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7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03" w:history="1">
        <w:r w:rsidR="00107BC3" w:rsidRPr="00A56446">
          <w:rPr>
            <w:rStyle w:val="Hyperlink"/>
            <w:rFonts w:asciiTheme="minorHAnsi" w:hAnsiTheme="minorHAnsi"/>
            <w:noProof/>
          </w:rPr>
          <w:t>6.2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Fees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_Toc505696903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7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04" w:history="1">
        <w:r w:rsidR="00107BC3" w:rsidRPr="00A56446">
          <w:rPr>
            <w:rStyle w:val="Hyperlink"/>
            <w:rFonts w:asciiTheme="minorHAnsi" w:hAnsiTheme="minorHAnsi"/>
            <w:noProof/>
          </w:rPr>
          <w:t>6.3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Responding to a data subject access request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</w:hyperlink>
      <w:r w:rsidR="00681FA6" w:rsidRPr="00A56446">
        <w:rPr>
          <w:rFonts w:asciiTheme="minorHAnsi" w:hAnsiTheme="minorHAnsi"/>
          <w:noProof/>
        </w:rPr>
        <w:t>8</w:t>
      </w:r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05" w:history="1">
        <w:r w:rsidR="00107BC3" w:rsidRPr="00A56446">
          <w:rPr>
            <w:rStyle w:val="Hyperlink"/>
            <w:rFonts w:asciiTheme="minorHAnsi" w:hAnsiTheme="minorHAnsi"/>
            <w:noProof/>
          </w:rPr>
          <w:t>6.4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Verifying the subject access request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_Toc505696905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8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06" w:history="1">
        <w:r w:rsidR="00107BC3" w:rsidRPr="00A56446">
          <w:rPr>
            <w:rStyle w:val="Hyperlink"/>
            <w:rFonts w:asciiTheme="minorHAnsi" w:hAnsiTheme="minorHAnsi"/>
            <w:noProof/>
          </w:rPr>
          <w:t>6.5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9132F2" w:rsidRPr="00A56446">
          <w:rPr>
            <w:rStyle w:val="Hyperlink"/>
            <w:rFonts w:asciiTheme="minorHAnsi" w:hAnsiTheme="minorHAnsi"/>
            <w:noProof/>
          </w:rPr>
          <w:t>E-r</w:t>
        </w:r>
        <w:r w:rsidR="00107BC3" w:rsidRPr="00A56446">
          <w:rPr>
            <w:rStyle w:val="Hyperlink"/>
            <w:rFonts w:asciiTheme="minorHAnsi" w:hAnsiTheme="minorHAnsi"/>
            <w:noProof/>
          </w:rPr>
          <w:t>equests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_Toc505696906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8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07" w:history="1">
        <w:r w:rsidR="00107BC3" w:rsidRPr="00A56446">
          <w:rPr>
            <w:rStyle w:val="Hyperlink"/>
            <w:rFonts w:asciiTheme="minorHAnsi" w:hAnsiTheme="minorHAnsi"/>
            <w:noProof/>
          </w:rPr>
          <w:t>6.6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9132F2" w:rsidRPr="00A56446">
          <w:rPr>
            <w:rStyle w:val="Hyperlink"/>
            <w:rFonts w:asciiTheme="minorHAnsi" w:hAnsiTheme="minorHAnsi"/>
            <w:noProof/>
          </w:rPr>
          <w:t>Third-</w:t>
        </w:r>
        <w:r w:rsidR="00107BC3" w:rsidRPr="00A56446">
          <w:rPr>
            <w:rStyle w:val="Hyperlink"/>
            <w:rFonts w:asciiTheme="minorHAnsi" w:hAnsiTheme="minorHAnsi"/>
            <w:noProof/>
          </w:rPr>
          <w:t>party requests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_Toc505696907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8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908" w:history="1">
        <w:r w:rsidR="00107BC3" w:rsidRPr="00A56446">
          <w:rPr>
            <w:rStyle w:val="Hyperlink"/>
            <w:rFonts w:asciiTheme="minorHAnsi" w:hAnsiTheme="minorHAnsi"/>
          </w:rPr>
          <w:t>7</w:t>
        </w:r>
        <w:r w:rsidR="00107BC3"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</w:rPr>
          <w:t>Data breaches</w:t>
        </w:r>
        <w:r w:rsidR="00107BC3" w:rsidRPr="00A56446">
          <w:rPr>
            <w:rFonts w:asciiTheme="minorHAnsi" w:hAnsiTheme="minorHAnsi"/>
            <w:webHidden/>
          </w:rPr>
          <w:tab/>
        </w:r>
        <w:r w:rsidRPr="00A56446">
          <w:rPr>
            <w:rFonts w:asciiTheme="minorHAnsi" w:hAnsiTheme="minorHAnsi"/>
            <w:webHidden/>
          </w:rPr>
          <w:fldChar w:fldCharType="begin"/>
        </w:r>
        <w:r w:rsidR="00107BC3" w:rsidRPr="00A56446">
          <w:rPr>
            <w:rFonts w:asciiTheme="minorHAnsi" w:hAnsiTheme="minorHAnsi"/>
            <w:webHidden/>
          </w:rPr>
          <w:instrText xml:space="preserve"> PAGEREF _Toc505696908 \h </w:instrText>
        </w:r>
        <w:r w:rsidRPr="00A56446">
          <w:rPr>
            <w:rFonts w:asciiTheme="minorHAnsi" w:hAnsiTheme="minorHAnsi"/>
            <w:webHidden/>
          </w:rPr>
        </w:r>
        <w:r w:rsidRPr="00A56446">
          <w:rPr>
            <w:rFonts w:asciiTheme="minorHAnsi" w:hAnsiTheme="minorHAnsi"/>
            <w:webHidden/>
          </w:rPr>
          <w:fldChar w:fldCharType="separate"/>
        </w:r>
        <w:r w:rsidR="00107BC3" w:rsidRPr="00A56446">
          <w:rPr>
            <w:rFonts w:asciiTheme="minorHAnsi" w:hAnsiTheme="minorHAnsi"/>
            <w:webHidden/>
          </w:rPr>
          <w:t>8</w:t>
        </w:r>
        <w:r w:rsidRPr="00A56446">
          <w:rPr>
            <w:rFonts w:asciiTheme="minorHAnsi" w:hAnsiTheme="minorHAnsi"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09" w:history="1">
        <w:r w:rsidR="00107BC3" w:rsidRPr="00A56446">
          <w:rPr>
            <w:rStyle w:val="Hyperlink"/>
            <w:rFonts w:asciiTheme="minorHAnsi" w:hAnsiTheme="minorHAnsi"/>
            <w:noProof/>
          </w:rPr>
          <w:t>7.1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Data breach definition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_Toc505696909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8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10" w:history="1">
        <w:r w:rsidR="00107BC3" w:rsidRPr="00A56446">
          <w:rPr>
            <w:rStyle w:val="Hyperlink"/>
            <w:rFonts w:asciiTheme="minorHAnsi" w:hAnsiTheme="minorHAnsi"/>
            <w:noProof/>
          </w:rPr>
          <w:t>7.2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Reporting a data breach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</w:hyperlink>
      <w:r w:rsidR="00A76965" w:rsidRPr="00A56446">
        <w:rPr>
          <w:rFonts w:asciiTheme="minorHAnsi" w:hAnsiTheme="minorHAnsi"/>
          <w:noProof/>
        </w:rPr>
        <w:t>9</w:t>
      </w:r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11" w:history="1">
        <w:r w:rsidR="00107BC3" w:rsidRPr="00A56446">
          <w:rPr>
            <w:rStyle w:val="Hyperlink"/>
            <w:rFonts w:asciiTheme="minorHAnsi" w:hAnsiTheme="minorHAnsi"/>
            <w:noProof/>
          </w:rPr>
          <w:t>7.3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Notifying a data subject of a breach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_Toc505696911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9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912" w:history="1">
        <w:r w:rsidR="00107BC3" w:rsidRPr="00A56446">
          <w:rPr>
            <w:rStyle w:val="Hyperlink"/>
            <w:rFonts w:asciiTheme="minorHAnsi" w:hAnsiTheme="minorHAnsi"/>
          </w:rPr>
          <w:t>8</w:t>
        </w:r>
        <w:r w:rsidR="00107BC3"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</w:rPr>
          <w:t>Data erasure</w:t>
        </w:r>
        <w:r w:rsidR="00107BC3" w:rsidRPr="00A56446">
          <w:rPr>
            <w:rFonts w:asciiTheme="minorHAnsi" w:hAnsiTheme="minorHAnsi"/>
            <w:webHidden/>
          </w:rPr>
          <w:tab/>
        </w:r>
        <w:r w:rsidRPr="00A56446">
          <w:rPr>
            <w:rFonts w:asciiTheme="minorHAnsi" w:hAnsiTheme="minorHAnsi"/>
            <w:webHidden/>
          </w:rPr>
          <w:fldChar w:fldCharType="begin"/>
        </w:r>
        <w:r w:rsidR="00107BC3" w:rsidRPr="00A56446">
          <w:rPr>
            <w:rFonts w:asciiTheme="minorHAnsi" w:hAnsiTheme="minorHAnsi"/>
            <w:webHidden/>
          </w:rPr>
          <w:instrText xml:space="preserve"> PAGEREF _Toc505696912 \h </w:instrText>
        </w:r>
        <w:r w:rsidRPr="00A56446">
          <w:rPr>
            <w:rFonts w:asciiTheme="minorHAnsi" w:hAnsiTheme="minorHAnsi"/>
            <w:webHidden/>
          </w:rPr>
        </w:r>
        <w:r w:rsidRPr="00A56446">
          <w:rPr>
            <w:rFonts w:asciiTheme="minorHAnsi" w:hAnsiTheme="minorHAnsi"/>
            <w:webHidden/>
          </w:rPr>
          <w:fldChar w:fldCharType="separate"/>
        </w:r>
        <w:r w:rsidR="00107BC3" w:rsidRPr="00A56446">
          <w:rPr>
            <w:rFonts w:asciiTheme="minorHAnsi" w:hAnsiTheme="minorHAnsi"/>
            <w:webHidden/>
          </w:rPr>
          <w:t>10</w:t>
        </w:r>
        <w:r w:rsidRPr="00A56446">
          <w:rPr>
            <w:rFonts w:asciiTheme="minorHAnsi" w:hAnsiTheme="minorHAnsi"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13" w:history="1">
        <w:r w:rsidR="00107BC3" w:rsidRPr="00A56446">
          <w:rPr>
            <w:rStyle w:val="Hyperlink"/>
            <w:rFonts w:asciiTheme="minorHAnsi" w:hAnsiTheme="minorHAnsi"/>
            <w:noProof/>
          </w:rPr>
          <w:t>8.1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Erasure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_Toc505696913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10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14" w:history="1">
        <w:r w:rsidR="00107BC3" w:rsidRPr="00A56446">
          <w:rPr>
            <w:rStyle w:val="Hyperlink"/>
            <w:rFonts w:asciiTheme="minorHAnsi" w:hAnsiTheme="minorHAnsi"/>
            <w:noProof/>
          </w:rPr>
          <w:t>8.2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Notifying third parties about data erasure requests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_Toc505696914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10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915" w:history="1">
        <w:r w:rsidR="00107BC3" w:rsidRPr="00A56446">
          <w:rPr>
            <w:rStyle w:val="Hyperlink"/>
            <w:rFonts w:asciiTheme="minorHAnsi" w:hAnsiTheme="minorHAnsi"/>
          </w:rPr>
          <w:t>9</w:t>
        </w:r>
        <w:r w:rsidR="00107BC3"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</w:rPr>
          <w:t>Consent</w:t>
        </w:r>
        <w:r w:rsidR="00107BC3" w:rsidRPr="00A56446">
          <w:rPr>
            <w:rFonts w:asciiTheme="minorHAnsi" w:hAnsiTheme="minorHAnsi"/>
            <w:webHidden/>
          </w:rPr>
          <w:tab/>
        </w:r>
        <w:r w:rsidRPr="00A56446">
          <w:rPr>
            <w:rFonts w:asciiTheme="minorHAnsi" w:hAnsiTheme="minorHAnsi"/>
            <w:webHidden/>
          </w:rPr>
          <w:fldChar w:fldCharType="begin"/>
        </w:r>
        <w:r w:rsidR="00107BC3" w:rsidRPr="00A56446">
          <w:rPr>
            <w:rFonts w:asciiTheme="minorHAnsi" w:hAnsiTheme="minorHAnsi"/>
            <w:webHidden/>
          </w:rPr>
          <w:instrText xml:space="preserve"> PAGEREF _Toc505696915 \h </w:instrText>
        </w:r>
        <w:r w:rsidRPr="00A56446">
          <w:rPr>
            <w:rFonts w:asciiTheme="minorHAnsi" w:hAnsiTheme="minorHAnsi"/>
            <w:webHidden/>
          </w:rPr>
        </w:r>
        <w:r w:rsidRPr="00A56446">
          <w:rPr>
            <w:rFonts w:asciiTheme="minorHAnsi" w:hAnsiTheme="minorHAnsi"/>
            <w:webHidden/>
          </w:rPr>
          <w:fldChar w:fldCharType="separate"/>
        </w:r>
        <w:r w:rsidR="00107BC3" w:rsidRPr="00A56446">
          <w:rPr>
            <w:rFonts w:asciiTheme="minorHAnsi" w:hAnsiTheme="minorHAnsi"/>
            <w:webHidden/>
          </w:rPr>
          <w:t>1</w:t>
        </w:r>
        <w:r w:rsidRPr="00A56446">
          <w:rPr>
            <w:rFonts w:asciiTheme="minorHAnsi" w:hAnsiTheme="minorHAnsi"/>
            <w:webHidden/>
          </w:rPr>
          <w:fldChar w:fldCharType="end"/>
        </w:r>
      </w:hyperlink>
      <w:r w:rsidR="00681FA6" w:rsidRPr="00A56446">
        <w:rPr>
          <w:rFonts w:asciiTheme="minorHAnsi" w:hAnsiTheme="minorHAnsi"/>
        </w:rPr>
        <w:t>1</w:t>
      </w:r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16" w:history="1">
        <w:r w:rsidR="00107BC3" w:rsidRPr="00A56446">
          <w:rPr>
            <w:rStyle w:val="Hyperlink"/>
            <w:rFonts w:asciiTheme="minorHAnsi" w:hAnsiTheme="minorHAnsi"/>
            <w:noProof/>
          </w:rPr>
          <w:t>9.1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Appropriateness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_Toc505696916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1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  <w:r w:rsidR="00681FA6" w:rsidRPr="00A56446">
        <w:rPr>
          <w:rFonts w:asciiTheme="minorHAnsi" w:hAnsiTheme="minorHAnsi"/>
          <w:noProof/>
        </w:rPr>
        <w:t>1</w:t>
      </w:r>
    </w:p>
    <w:p w:rsidR="00681FA6" w:rsidRPr="00A56446" w:rsidRDefault="008D6799" w:rsidP="00DA103A">
      <w:pPr>
        <w:pStyle w:val="TOC2"/>
        <w:rPr>
          <w:rFonts w:asciiTheme="minorHAnsi" w:hAnsiTheme="minorHAnsi"/>
          <w:noProof/>
        </w:rPr>
      </w:pPr>
      <w:hyperlink w:anchor="_Toc505696917" w:history="1">
        <w:r w:rsidR="00107BC3" w:rsidRPr="00A56446">
          <w:rPr>
            <w:rStyle w:val="Hyperlink"/>
            <w:rFonts w:asciiTheme="minorHAnsi" w:hAnsiTheme="minorHAnsi"/>
            <w:noProof/>
          </w:rPr>
          <w:t>9.2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Obtaining consent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_Toc505696917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11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966AC0" w:rsidRPr="00A56446" w:rsidRDefault="00966AC0" w:rsidP="00DA103A">
      <w:pPr>
        <w:pStyle w:val="TOC2"/>
        <w:rPr>
          <w:rFonts w:asciiTheme="minorHAnsi" w:hAnsiTheme="minorHAnsi"/>
        </w:rPr>
      </w:pPr>
      <w:r w:rsidRPr="00A56446">
        <w:rPr>
          <w:rFonts w:asciiTheme="minorHAnsi" w:hAnsiTheme="minorHAnsi"/>
        </w:rPr>
        <w:t>9.3</w:t>
      </w:r>
      <w:r w:rsidRPr="00A56446">
        <w:rPr>
          <w:rFonts w:asciiTheme="minorHAnsi" w:hAnsiTheme="minorHAnsi"/>
        </w:rPr>
        <w:tab/>
        <w:t>Parental consent</w:t>
      </w:r>
      <w:r w:rsidRPr="00A56446">
        <w:rPr>
          <w:rFonts w:asciiTheme="minorHAnsi" w:hAnsiTheme="minorHAnsi"/>
        </w:rPr>
        <w:tab/>
        <w:t xml:space="preserve">  11</w:t>
      </w:r>
    </w:p>
    <w:p w:rsidR="00107BC3" w:rsidRPr="00A56446" w:rsidRDefault="008D6799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918" w:history="1">
        <w:r w:rsidR="00107BC3" w:rsidRPr="00A56446">
          <w:rPr>
            <w:rStyle w:val="Hyperlink"/>
            <w:rFonts w:asciiTheme="minorHAnsi" w:hAnsiTheme="minorHAnsi"/>
          </w:rPr>
          <w:t>10</w:t>
        </w:r>
        <w:r w:rsidR="00107BC3"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</w:rPr>
          <w:t xml:space="preserve">Preparing for </w:t>
        </w:r>
        <w:r w:rsidR="00E57B8F" w:rsidRPr="00A56446">
          <w:rPr>
            <w:rStyle w:val="Hyperlink"/>
            <w:rFonts w:asciiTheme="minorHAnsi" w:hAnsiTheme="minorHAnsi"/>
          </w:rPr>
          <w:t xml:space="preserve">the </w:t>
        </w:r>
        <w:r w:rsidR="00107BC3" w:rsidRPr="00A56446">
          <w:rPr>
            <w:rStyle w:val="Hyperlink"/>
            <w:rFonts w:asciiTheme="minorHAnsi" w:hAnsiTheme="minorHAnsi"/>
          </w:rPr>
          <w:t>GDPR</w:t>
        </w:r>
        <w:r w:rsidR="00107BC3" w:rsidRPr="00A56446">
          <w:rPr>
            <w:rFonts w:asciiTheme="minorHAnsi" w:hAnsiTheme="minorHAnsi"/>
            <w:webHidden/>
          </w:rPr>
          <w:tab/>
        </w:r>
        <w:r w:rsidRPr="00A56446">
          <w:rPr>
            <w:rFonts w:asciiTheme="minorHAnsi" w:hAnsiTheme="minorHAnsi"/>
            <w:webHidden/>
          </w:rPr>
          <w:fldChar w:fldCharType="begin"/>
        </w:r>
        <w:r w:rsidR="00107BC3" w:rsidRPr="00A56446">
          <w:rPr>
            <w:rFonts w:asciiTheme="minorHAnsi" w:hAnsiTheme="minorHAnsi"/>
            <w:webHidden/>
          </w:rPr>
          <w:instrText xml:space="preserve"> PAGEREF _Toc505696918 \h </w:instrText>
        </w:r>
        <w:r w:rsidRPr="00A56446">
          <w:rPr>
            <w:rFonts w:asciiTheme="minorHAnsi" w:hAnsiTheme="minorHAnsi"/>
            <w:webHidden/>
          </w:rPr>
        </w:r>
        <w:r w:rsidRPr="00A56446">
          <w:rPr>
            <w:rFonts w:asciiTheme="minorHAnsi" w:hAnsiTheme="minorHAnsi"/>
            <w:webHidden/>
          </w:rPr>
          <w:fldChar w:fldCharType="separate"/>
        </w:r>
        <w:r w:rsidR="00107BC3" w:rsidRPr="00A56446">
          <w:rPr>
            <w:rFonts w:asciiTheme="minorHAnsi" w:hAnsiTheme="minorHAnsi"/>
            <w:webHidden/>
          </w:rPr>
          <w:t>1</w:t>
        </w:r>
        <w:r w:rsidRPr="00A56446">
          <w:rPr>
            <w:rFonts w:asciiTheme="minorHAnsi" w:hAnsiTheme="minorHAnsi"/>
            <w:webHidden/>
          </w:rPr>
          <w:fldChar w:fldCharType="end"/>
        </w:r>
      </w:hyperlink>
      <w:r w:rsidR="00681FA6" w:rsidRPr="00A56446">
        <w:rPr>
          <w:rFonts w:asciiTheme="minorHAnsi" w:hAnsiTheme="minorHAnsi"/>
        </w:rPr>
        <w:t>2</w:t>
      </w:r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19" w:history="1">
        <w:r w:rsidR="00107BC3" w:rsidRPr="00A56446">
          <w:rPr>
            <w:rStyle w:val="Hyperlink"/>
            <w:rFonts w:asciiTheme="minorHAnsi" w:hAnsiTheme="minorHAnsi"/>
            <w:noProof/>
          </w:rPr>
          <w:t>10.1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Data mapping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_Toc505696919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1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  <w:r w:rsidR="00681FA6" w:rsidRPr="00A56446">
        <w:rPr>
          <w:rFonts w:asciiTheme="minorHAnsi" w:hAnsiTheme="minorHAnsi"/>
          <w:noProof/>
        </w:rPr>
        <w:t>2</w:t>
      </w:r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20" w:history="1">
        <w:r w:rsidR="00107BC3" w:rsidRPr="00A56446">
          <w:rPr>
            <w:rStyle w:val="Hyperlink"/>
            <w:rFonts w:asciiTheme="minorHAnsi" w:hAnsiTheme="minorHAnsi"/>
            <w:noProof/>
          </w:rPr>
          <w:t>10.2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E57B8F" w:rsidRPr="00A56446">
          <w:rPr>
            <w:rStyle w:val="Hyperlink"/>
            <w:rFonts w:asciiTheme="minorHAnsi" w:hAnsiTheme="minorHAnsi"/>
            <w:noProof/>
          </w:rPr>
          <w:t>Data mapping and the Data Protection Impact A</w:t>
        </w:r>
        <w:r w:rsidR="00107BC3" w:rsidRPr="00A56446">
          <w:rPr>
            <w:rStyle w:val="Hyperlink"/>
            <w:rFonts w:asciiTheme="minorHAnsi" w:hAnsiTheme="minorHAnsi"/>
            <w:noProof/>
          </w:rPr>
          <w:t>ssessment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_Toc505696920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1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  <w:r w:rsidR="00681FA6" w:rsidRPr="00A56446">
        <w:rPr>
          <w:rFonts w:asciiTheme="minorHAnsi" w:hAnsiTheme="minorHAnsi"/>
          <w:noProof/>
        </w:rPr>
        <w:t>2</w:t>
      </w:r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21" w:history="1">
        <w:r w:rsidR="00107BC3" w:rsidRPr="00A56446">
          <w:rPr>
            <w:rStyle w:val="Hyperlink"/>
            <w:rFonts w:asciiTheme="minorHAnsi" w:hAnsiTheme="minorHAnsi"/>
            <w:noProof/>
          </w:rPr>
          <w:t>10.3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Da</w:t>
        </w:r>
        <w:r w:rsidR="00E57B8F" w:rsidRPr="00A56446">
          <w:rPr>
            <w:rStyle w:val="Hyperlink"/>
            <w:rFonts w:asciiTheme="minorHAnsi" w:hAnsiTheme="minorHAnsi"/>
            <w:noProof/>
          </w:rPr>
          <w:t>ta Protection Impact A</w:t>
        </w:r>
        <w:r w:rsidR="00107BC3" w:rsidRPr="00A56446">
          <w:rPr>
            <w:rStyle w:val="Hyperlink"/>
            <w:rFonts w:asciiTheme="minorHAnsi" w:hAnsiTheme="minorHAnsi"/>
            <w:noProof/>
          </w:rPr>
          <w:t>ssessment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_Toc505696921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12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:rsidR="00107BC3" w:rsidRPr="00A56446" w:rsidRDefault="008D6799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22" w:history="1">
        <w:r w:rsidR="00107BC3" w:rsidRPr="00A56446">
          <w:rPr>
            <w:rStyle w:val="Hyperlink"/>
            <w:rFonts w:asciiTheme="minorHAnsi" w:hAnsiTheme="minorHAnsi"/>
            <w:noProof/>
          </w:rPr>
          <w:t>10.4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DPIA process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_Toc505696922 \h </w:instrText>
        </w:r>
        <w:r w:rsidRPr="00A56446">
          <w:rPr>
            <w:rFonts w:asciiTheme="minorHAnsi" w:hAnsiTheme="minorHAnsi"/>
            <w:noProof/>
            <w:webHidden/>
          </w:rPr>
        </w:r>
        <w:r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1</w:t>
        </w:r>
        <w:r w:rsidRPr="00A56446">
          <w:rPr>
            <w:rFonts w:asciiTheme="minorHAnsi" w:hAnsiTheme="minorHAnsi"/>
            <w:noProof/>
            <w:webHidden/>
          </w:rPr>
          <w:fldChar w:fldCharType="end"/>
        </w:r>
      </w:hyperlink>
      <w:r w:rsidR="00681FA6" w:rsidRPr="00A56446">
        <w:rPr>
          <w:rFonts w:asciiTheme="minorHAnsi" w:hAnsiTheme="minorHAnsi"/>
          <w:noProof/>
        </w:rPr>
        <w:t>3</w:t>
      </w:r>
    </w:p>
    <w:p w:rsidR="00107BC3" w:rsidRPr="00A56446" w:rsidRDefault="008D6799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923" w:history="1">
        <w:r w:rsidR="00107BC3" w:rsidRPr="00A56446">
          <w:rPr>
            <w:rStyle w:val="Hyperlink"/>
            <w:rFonts w:asciiTheme="minorHAnsi" w:hAnsiTheme="minorHAnsi"/>
          </w:rPr>
          <w:t>11</w:t>
        </w:r>
        <w:r w:rsidR="00107BC3"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</w:rPr>
          <w:t>Summary</w:t>
        </w:r>
        <w:r w:rsidR="00107BC3" w:rsidRPr="00A56446">
          <w:rPr>
            <w:rFonts w:asciiTheme="minorHAnsi" w:hAnsiTheme="minorHAnsi"/>
            <w:webHidden/>
          </w:rPr>
          <w:tab/>
        </w:r>
        <w:r w:rsidRPr="00A56446">
          <w:rPr>
            <w:rFonts w:asciiTheme="minorHAnsi" w:hAnsiTheme="minorHAnsi"/>
            <w:webHidden/>
          </w:rPr>
          <w:fldChar w:fldCharType="begin"/>
        </w:r>
        <w:r w:rsidR="00107BC3" w:rsidRPr="00A56446">
          <w:rPr>
            <w:rFonts w:asciiTheme="minorHAnsi" w:hAnsiTheme="minorHAnsi"/>
            <w:webHidden/>
          </w:rPr>
          <w:instrText xml:space="preserve"> PAGEREF _Toc505696923 \h </w:instrText>
        </w:r>
        <w:r w:rsidRPr="00A56446">
          <w:rPr>
            <w:rFonts w:asciiTheme="minorHAnsi" w:hAnsiTheme="minorHAnsi"/>
            <w:webHidden/>
          </w:rPr>
        </w:r>
        <w:r w:rsidRPr="00A56446">
          <w:rPr>
            <w:rFonts w:asciiTheme="minorHAnsi" w:hAnsiTheme="minorHAnsi"/>
            <w:webHidden/>
          </w:rPr>
          <w:fldChar w:fldCharType="separate"/>
        </w:r>
        <w:r w:rsidR="00107BC3" w:rsidRPr="00A56446">
          <w:rPr>
            <w:rFonts w:asciiTheme="minorHAnsi" w:hAnsiTheme="minorHAnsi"/>
            <w:webHidden/>
          </w:rPr>
          <w:t>13</w:t>
        </w:r>
        <w:r w:rsidRPr="00A56446">
          <w:rPr>
            <w:rFonts w:asciiTheme="minorHAnsi" w:hAnsiTheme="minorHAnsi"/>
            <w:webHidden/>
          </w:rPr>
          <w:fldChar w:fldCharType="end"/>
        </w:r>
      </w:hyperlink>
    </w:p>
    <w:p w:rsidR="00D7710A" w:rsidRPr="00A56446" w:rsidRDefault="00D7710A" w:rsidP="00D7710A">
      <w:pPr>
        <w:rPr>
          <w:rFonts w:asciiTheme="minorHAnsi" w:eastAsiaTheme="minorEastAsia" w:hAnsiTheme="minorHAnsi"/>
          <w:lang w:eastAsia="en-US"/>
        </w:rPr>
      </w:pPr>
    </w:p>
    <w:p w:rsidR="00D7710A" w:rsidRPr="00A56446" w:rsidRDefault="00D7710A" w:rsidP="00D7710A">
      <w:pPr>
        <w:rPr>
          <w:rFonts w:asciiTheme="minorHAnsi" w:eastAsiaTheme="minorEastAsia" w:hAnsiTheme="minorHAnsi" w:cs="Arial"/>
          <w:b/>
          <w:lang w:eastAsia="en-US"/>
        </w:rPr>
      </w:pPr>
    </w:p>
    <w:p w:rsidR="000858D5" w:rsidRPr="00A56446" w:rsidRDefault="008D6799" w:rsidP="008501EE">
      <w:pPr>
        <w:pStyle w:val="TOC1"/>
        <w:rPr>
          <w:rFonts w:asciiTheme="minorHAnsi" w:hAnsiTheme="minorHAnsi"/>
          <w:sz w:val="28"/>
          <w:szCs w:val="28"/>
        </w:rPr>
      </w:pPr>
      <w:r w:rsidRPr="00A56446">
        <w:rPr>
          <w:rFonts w:asciiTheme="minorHAnsi" w:hAnsiTheme="minorHAnsi"/>
          <w:sz w:val="20"/>
          <w:szCs w:val="28"/>
        </w:rPr>
        <w:fldChar w:fldCharType="end"/>
      </w:r>
      <w:r w:rsidR="00D85E4D" w:rsidRPr="00A56446">
        <w:rPr>
          <w:rFonts w:asciiTheme="minorHAnsi" w:hAnsiTheme="minorHAnsi"/>
          <w:sz w:val="28"/>
          <w:szCs w:val="28"/>
        </w:rPr>
        <w:br w:type="page"/>
      </w:r>
      <w:bookmarkStart w:id="0" w:name="_Toc505696877"/>
      <w:r w:rsidR="000858D5" w:rsidRPr="00A56446">
        <w:rPr>
          <w:rFonts w:asciiTheme="minorHAnsi" w:hAnsiTheme="minorHAnsi"/>
          <w:sz w:val="28"/>
          <w:szCs w:val="28"/>
        </w:rPr>
        <w:lastRenderedPageBreak/>
        <w:t>Introduction</w:t>
      </w:r>
      <w:bookmarkEnd w:id="0"/>
    </w:p>
    <w:p w:rsidR="00044905" w:rsidRPr="00A56446" w:rsidRDefault="00D05574" w:rsidP="00044905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1" w:name="_Toc495852825"/>
      <w:bookmarkStart w:id="2" w:name="_Toc505696878"/>
      <w:r w:rsidRPr="00A56446">
        <w:rPr>
          <w:rFonts w:asciiTheme="minorHAnsi" w:hAnsiTheme="minorHAnsi" w:cs="Arial"/>
          <w:smallCaps w:val="0"/>
          <w:sz w:val="24"/>
          <w:szCs w:val="24"/>
        </w:rPr>
        <w:t>P</w:t>
      </w:r>
      <w:r w:rsidR="00044905" w:rsidRPr="00A56446">
        <w:rPr>
          <w:rFonts w:asciiTheme="minorHAnsi" w:hAnsiTheme="minorHAnsi" w:cs="Arial"/>
          <w:smallCaps w:val="0"/>
          <w:sz w:val="24"/>
          <w:szCs w:val="24"/>
        </w:rPr>
        <w:t>olicy statement</w:t>
      </w:r>
      <w:bookmarkEnd w:id="1"/>
      <w:bookmarkEnd w:id="2"/>
    </w:p>
    <w:p w:rsidR="009E44EC" w:rsidRPr="00A56446" w:rsidRDefault="009E44EC" w:rsidP="009E44EC">
      <w:pPr>
        <w:rPr>
          <w:rFonts w:asciiTheme="minorHAnsi" w:hAnsiTheme="minorHAnsi"/>
          <w:lang w:val="en-US"/>
        </w:rPr>
      </w:pPr>
    </w:p>
    <w:p w:rsidR="00B35D79" w:rsidRPr="00A56446" w:rsidRDefault="00761798" w:rsidP="00C91E5D">
      <w:pPr>
        <w:tabs>
          <w:tab w:val="left" w:pos="7797"/>
        </w:tabs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The EU General Data Protection Regulation (GDPR herein) will come into </w:t>
      </w:r>
      <w:r w:rsidR="009132F2" w:rsidRPr="00A56446">
        <w:rPr>
          <w:rFonts w:asciiTheme="minorHAnsi" w:hAnsiTheme="minorHAnsi" w:cs="Arial"/>
          <w:sz w:val="22"/>
          <w:szCs w:val="22"/>
          <w:lang w:val="en-US"/>
        </w:rPr>
        <w:t xml:space="preserve">force on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25</w:t>
      </w:r>
      <w:r w:rsidRPr="00A56446">
        <w:rPr>
          <w:rFonts w:asciiTheme="minorHAnsi" w:hAnsiTheme="minorHAnsi" w:cs="Arial"/>
          <w:sz w:val="22"/>
          <w:szCs w:val="22"/>
          <w:vertAlign w:val="superscript"/>
          <w:lang w:val="en-US"/>
        </w:rPr>
        <w:t>th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May 2018</w:t>
      </w:r>
      <w:r w:rsidR="00C91E5D" w:rsidRPr="00A56446">
        <w:rPr>
          <w:rFonts w:asciiTheme="minorHAnsi" w:hAnsiTheme="minorHAnsi" w:cs="Arial"/>
          <w:sz w:val="22"/>
          <w:szCs w:val="22"/>
          <w:lang w:val="en-US"/>
        </w:rPr>
        <w:t>;</w:t>
      </w:r>
      <w:r w:rsidR="00781E32" w:rsidRPr="00A56446">
        <w:rPr>
          <w:rFonts w:asciiTheme="minorHAnsi" w:hAnsiTheme="minorHAnsi" w:cs="Arial"/>
          <w:sz w:val="22"/>
          <w:szCs w:val="22"/>
          <w:lang w:val="en-US"/>
        </w:rPr>
        <w:t xml:space="preserve">the extant Data Protection Bill published in September 2017 is to be read in conjunction with the GDPR.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The GDPR </w:t>
      </w:r>
      <w:r w:rsidR="00D32C03" w:rsidRPr="00A56446">
        <w:rPr>
          <w:rFonts w:asciiTheme="minorHAnsi" w:hAnsiTheme="minorHAnsi" w:cs="Arial"/>
          <w:sz w:val="22"/>
          <w:szCs w:val="22"/>
          <w:lang w:val="en-US"/>
        </w:rPr>
        <w:t xml:space="preserve">applies to all EU member states and </w:t>
      </w:r>
      <w:r w:rsidR="006630C5">
        <w:rPr>
          <w:rFonts w:asciiTheme="minorHAnsi" w:hAnsiTheme="minorHAnsi" w:cs="Arial"/>
          <w:sz w:val="22"/>
          <w:szCs w:val="22"/>
          <w:lang w:val="en-US"/>
        </w:rPr>
        <w:t>Dr Johnston &amp; Partners</w:t>
      </w:r>
      <w:r w:rsidR="00D32C03" w:rsidRPr="00A56446">
        <w:rPr>
          <w:rFonts w:asciiTheme="minorHAnsi" w:hAnsiTheme="minorHAnsi" w:cs="Arial"/>
          <w:sz w:val="22"/>
          <w:szCs w:val="22"/>
          <w:lang w:val="en-US"/>
        </w:rPr>
        <w:t xml:space="preserve"> must be able to demons</w:t>
      </w:r>
      <w:r w:rsidR="009132F2" w:rsidRPr="00A56446">
        <w:rPr>
          <w:rFonts w:asciiTheme="minorHAnsi" w:hAnsiTheme="minorHAnsi" w:cs="Arial"/>
          <w:sz w:val="22"/>
          <w:szCs w:val="22"/>
          <w:lang w:val="en-US"/>
        </w:rPr>
        <w:t xml:space="preserve">trate compliance at all times. </w:t>
      </w:r>
      <w:r w:rsidR="00D32C03" w:rsidRPr="00A56446">
        <w:rPr>
          <w:rFonts w:asciiTheme="minorHAnsi" w:hAnsiTheme="minorHAnsi" w:cs="Arial"/>
          <w:sz w:val="22"/>
          <w:szCs w:val="22"/>
          <w:lang w:val="en-US"/>
        </w:rPr>
        <w:t xml:space="preserve">Understanding the requirements of the GDPR will ensure </w:t>
      </w:r>
      <w:r w:rsidR="009132F2" w:rsidRPr="00A56446">
        <w:rPr>
          <w:rFonts w:asciiTheme="minorHAnsi" w:hAnsiTheme="minorHAnsi" w:cs="Arial"/>
          <w:sz w:val="22"/>
          <w:szCs w:val="22"/>
          <w:lang w:val="en-US"/>
        </w:rPr>
        <w:t xml:space="preserve">that </w:t>
      </w:r>
      <w:r w:rsidR="00D32C03" w:rsidRPr="00A56446">
        <w:rPr>
          <w:rFonts w:asciiTheme="minorHAnsi" w:hAnsiTheme="minorHAnsi" w:cs="Arial"/>
          <w:sz w:val="22"/>
          <w:szCs w:val="22"/>
          <w:lang w:val="en-US"/>
        </w:rPr>
        <w:t>personal data of both staff and patients is protected accordingly.</w:t>
      </w:r>
    </w:p>
    <w:p w:rsidR="00044905" w:rsidRPr="00A56446" w:rsidRDefault="00965FEA" w:rsidP="00044905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" w:name="_Toc495852828"/>
      <w:bookmarkStart w:id="4" w:name="_Toc505696879"/>
      <w:r w:rsidRPr="00A56446">
        <w:rPr>
          <w:rFonts w:asciiTheme="minorHAnsi" w:hAnsiTheme="minorHAnsi" w:cs="Arial"/>
          <w:smallCaps w:val="0"/>
          <w:sz w:val="24"/>
          <w:szCs w:val="24"/>
        </w:rPr>
        <w:t>S</w:t>
      </w:r>
      <w:r w:rsidR="00044905" w:rsidRPr="00A56446">
        <w:rPr>
          <w:rFonts w:asciiTheme="minorHAnsi" w:hAnsiTheme="minorHAnsi" w:cs="Arial"/>
          <w:smallCaps w:val="0"/>
          <w:sz w:val="24"/>
          <w:szCs w:val="24"/>
        </w:rPr>
        <w:t>tatus</w:t>
      </w:r>
      <w:bookmarkEnd w:id="3"/>
      <w:bookmarkEnd w:id="4"/>
    </w:p>
    <w:p w:rsidR="00807595" w:rsidRPr="00A56446" w:rsidRDefault="00807595" w:rsidP="00044905">
      <w:pPr>
        <w:rPr>
          <w:rFonts w:asciiTheme="minorHAnsi" w:hAnsiTheme="minorHAnsi" w:cstheme="minorHAnsi"/>
          <w:lang w:val="en-US"/>
        </w:rPr>
      </w:pPr>
    </w:p>
    <w:p w:rsidR="00044905" w:rsidRPr="00A56446" w:rsidRDefault="00044905" w:rsidP="00044905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This document and any procedures contained within it are non-contractual and may be modified or w</w:t>
      </w:r>
      <w:r w:rsidR="00F454D3" w:rsidRPr="00A56446">
        <w:rPr>
          <w:rFonts w:asciiTheme="minorHAnsi" w:hAnsiTheme="minorHAnsi" w:cs="Arial"/>
          <w:sz w:val="22"/>
          <w:szCs w:val="22"/>
          <w:lang w:val="en-US"/>
        </w:rPr>
        <w:t xml:space="preserve">ithdrawn at any time.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For the avoidance of doubt, it does not form part of your contract of employment.</w:t>
      </w:r>
    </w:p>
    <w:p w:rsidR="00BE3256" w:rsidRPr="00A56446" w:rsidRDefault="00BE3256" w:rsidP="00044905">
      <w:pPr>
        <w:rPr>
          <w:rFonts w:asciiTheme="minorHAnsi" w:hAnsiTheme="minorHAnsi" w:cs="Arial"/>
          <w:lang w:val="en-US"/>
        </w:rPr>
      </w:pPr>
    </w:p>
    <w:p w:rsidR="00044905" w:rsidRPr="00A56446" w:rsidRDefault="00F454D3" w:rsidP="00044905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5" w:name="_Toc495852829"/>
      <w:bookmarkStart w:id="6" w:name="_Toc505696880"/>
      <w:r w:rsidRPr="00A56446">
        <w:rPr>
          <w:rFonts w:asciiTheme="minorHAnsi" w:hAnsiTheme="minorHAnsi" w:cs="Arial"/>
          <w:smallCaps w:val="0"/>
          <w:sz w:val="24"/>
          <w:szCs w:val="24"/>
        </w:rPr>
        <w:t>T</w:t>
      </w:r>
      <w:r w:rsidR="00044905" w:rsidRPr="00A56446">
        <w:rPr>
          <w:rFonts w:asciiTheme="minorHAnsi" w:hAnsiTheme="minorHAnsi" w:cs="Arial"/>
          <w:smallCaps w:val="0"/>
          <w:sz w:val="24"/>
          <w:szCs w:val="24"/>
        </w:rPr>
        <w:t>raining and support</w:t>
      </w:r>
      <w:bookmarkEnd w:id="5"/>
      <w:bookmarkEnd w:id="6"/>
    </w:p>
    <w:p w:rsidR="00044905" w:rsidRPr="00A56446" w:rsidRDefault="00044905" w:rsidP="00044905">
      <w:pPr>
        <w:rPr>
          <w:rFonts w:asciiTheme="minorHAnsi" w:hAnsiTheme="minorHAnsi"/>
          <w:lang w:val="en-US"/>
        </w:rPr>
      </w:pPr>
    </w:p>
    <w:p w:rsidR="00044905" w:rsidRPr="00A56446" w:rsidRDefault="00F454D3" w:rsidP="00044905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p</w:t>
      </w:r>
      <w:r w:rsidR="00044905" w:rsidRPr="00A56446">
        <w:rPr>
          <w:rFonts w:asciiTheme="minorHAnsi" w:hAnsiTheme="minorHAnsi" w:cs="Arial"/>
          <w:sz w:val="22"/>
          <w:szCs w:val="22"/>
          <w:lang w:val="en-US"/>
        </w:rPr>
        <w:t>ractice will provide guidance and support to help those to whom it applies understand their rights and responsibilities unde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r this policy. </w:t>
      </w:r>
      <w:r w:rsidR="00044905" w:rsidRPr="00A56446">
        <w:rPr>
          <w:rFonts w:asciiTheme="minorHAnsi" w:hAnsiTheme="minorHAnsi" w:cs="Arial"/>
          <w:sz w:val="22"/>
          <w:szCs w:val="22"/>
          <w:lang w:val="en-US"/>
        </w:rPr>
        <w:t>Additional support will be provided to managers and supervisors to enable them to deal more effectively with matters arising from this policy.</w:t>
      </w:r>
    </w:p>
    <w:p w:rsidR="00044905" w:rsidRPr="00A56446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7" w:name="_Toc495852830"/>
      <w:bookmarkStart w:id="8" w:name="_Toc505696881"/>
      <w:r w:rsidRPr="00A56446">
        <w:rPr>
          <w:rFonts w:asciiTheme="minorHAnsi" w:hAnsiTheme="minorHAnsi"/>
          <w:sz w:val="28"/>
          <w:szCs w:val="28"/>
        </w:rPr>
        <w:t>Scope</w:t>
      </w:r>
      <w:bookmarkEnd w:id="7"/>
      <w:bookmarkEnd w:id="8"/>
    </w:p>
    <w:p w:rsidR="00044905" w:rsidRPr="00A56446" w:rsidRDefault="00F454D3" w:rsidP="00044905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9" w:name="_Toc495852831"/>
      <w:bookmarkStart w:id="10" w:name="_Toc505696882"/>
      <w:r w:rsidRPr="00A56446">
        <w:rPr>
          <w:rFonts w:asciiTheme="minorHAnsi" w:hAnsiTheme="minorHAnsi" w:cs="Arial"/>
          <w:smallCaps w:val="0"/>
          <w:sz w:val="24"/>
          <w:szCs w:val="24"/>
        </w:rPr>
        <w:t>W</w:t>
      </w:r>
      <w:r w:rsidR="00044905" w:rsidRPr="00A56446">
        <w:rPr>
          <w:rFonts w:asciiTheme="minorHAnsi" w:hAnsiTheme="minorHAnsi" w:cs="Arial"/>
          <w:smallCaps w:val="0"/>
          <w:sz w:val="24"/>
          <w:szCs w:val="24"/>
        </w:rPr>
        <w:t>ho it applies to</w:t>
      </w:r>
      <w:bookmarkEnd w:id="9"/>
      <w:bookmarkEnd w:id="10"/>
    </w:p>
    <w:p w:rsidR="00044905" w:rsidRPr="00A56446" w:rsidRDefault="00044905" w:rsidP="00044905">
      <w:pPr>
        <w:rPr>
          <w:rFonts w:asciiTheme="minorHAnsi" w:hAnsiTheme="minorHAnsi"/>
          <w:lang w:val="en-US"/>
        </w:rPr>
      </w:pPr>
    </w:p>
    <w:p w:rsidR="00807595" w:rsidRPr="00A56446" w:rsidRDefault="00044905" w:rsidP="00044905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This document applies to all employees</w:t>
      </w:r>
      <w:r w:rsidR="00F454D3" w:rsidRPr="00A56446">
        <w:rPr>
          <w:rFonts w:asciiTheme="minorHAnsi" w:hAnsiTheme="minorHAnsi" w:cs="Arial"/>
          <w:sz w:val="22"/>
          <w:szCs w:val="22"/>
          <w:lang w:val="en-US"/>
        </w:rPr>
        <w:t>, p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artners and directors of the </w:t>
      </w:r>
      <w:r w:rsidR="00F454D3" w:rsidRPr="00A56446">
        <w:rPr>
          <w:rFonts w:asciiTheme="minorHAnsi" w:hAnsiTheme="minorHAnsi" w:cs="Arial"/>
          <w:sz w:val="22"/>
          <w:szCs w:val="22"/>
          <w:lang w:val="en-US"/>
        </w:rPr>
        <w:t>p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ractice. Other individuals performing functions in relation to the </w:t>
      </w:r>
      <w:r w:rsidR="00F454D3" w:rsidRPr="00A56446">
        <w:rPr>
          <w:rFonts w:asciiTheme="minorHAnsi" w:hAnsiTheme="minorHAnsi" w:cs="Arial"/>
          <w:sz w:val="22"/>
          <w:szCs w:val="22"/>
          <w:lang w:val="en-US"/>
        </w:rPr>
        <w:t>p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ractice, such as agency workers, locums and contractors, are encouraged to use it.</w:t>
      </w:r>
    </w:p>
    <w:p w:rsidR="00044905" w:rsidRPr="00A56446" w:rsidRDefault="00F454D3" w:rsidP="00807595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11" w:name="_Toc495852832"/>
      <w:bookmarkStart w:id="12" w:name="_Toc505696883"/>
      <w:r w:rsidRPr="00A56446">
        <w:rPr>
          <w:rFonts w:asciiTheme="minorHAnsi" w:hAnsiTheme="minorHAnsi" w:cs="Arial"/>
          <w:smallCaps w:val="0"/>
          <w:sz w:val="24"/>
          <w:szCs w:val="24"/>
        </w:rPr>
        <w:t>W</w:t>
      </w:r>
      <w:r w:rsidR="00044905" w:rsidRPr="00A56446">
        <w:rPr>
          <w:rFonts w:asciiTheme="minorHAnsi" w:hAnsiTheme="minorHAnsi" w:cs="Arial"/>
          <w:smallCaps w:val="0"/>
          <w:sz w:val="24"/>
          <w:szCs w:val="24"/>
        </w:rPr>
        <w:t xml:space="preserve">hy and how it applies to </w:t>
      </w:r>
      <w:bookmarkEnd w:id="11"/>
      <w:bookmarkEnd w:id="12"/>
      <w:r w:rsidR="00807595" w:rsidRPr="00A56446">
        <w:rPr>
          <w:rFonts w:asciiTheme="minorHAnsi" w:hAnsiTheme="minorHAnsi" w:cs="Arial"/>
          <w:smallCaps w:val="0"/>
          <w:sz w:val="24"/>
          <w:szCs w:val="24"/>
        </w:rPr>
        <w:t>them</w:t>
      </w:r>
    </w:p>
    <w:p w:rsidR="00B22E1E" w:rsidRPr="00A56446" w:rsidRDefault="00B22E1E" w:rsidP="005067B1">
      <w:pPr>
        <w:rPr>
          <w:rFonts w:asciiTheme="minorHAnsi" w:hAnsiTheme="minorHAnsi" w:cs="Arial"/>
          <w:lang w:val="en-US"/>
        </w:rPr>
      </w:pPr>
    </w:p>
    <w:p w:rsidR="00D32C03" w:rsidRPr="00A56446" w:rsidRDefault="00D32C03" w:rsidP="005B058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All personnel at </w:t>
      </w:r>
      <w:r w:rsidR="006630C5">
        <w:rPr>
          <w:rFonts w:asciiTheme="minorHAnsi" w:hAnsiTheme="minorHAnsi" w:cs="Arial"/>
          <w:sz w:val="22"/>
          <w:szCs w:val="22"/>
          <w:lang w:val="en-US"/>
        </w:rPr>
        <w:t>Dr Johnston &amp; Partners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have a</w:t>
      </w:r>
      <w:r w:rsidR="00F021B5" w:rsidRPr="00A56446">
        <w:rPr>
          <w:rFonts w:asciiTheme="minorHAnsi" w:hAnsiTheme="minorHAnsi" w:cs="Arial"/>
          <w:sz w:val="22"/>
          <w:szCs w:val="22"/>
          <w:lang w:val="en-US"/>
        </w:rPr>
        <w:t xml:space="preserve"> responsibility </w:t>
      </w:r>
      <w:r w:rsidR="004F587B" w:rsidRPr="00A56446">
        <w:rPr>
          <w:rFonts w:asciiTheme="minorHAnsi" w:hAnsiTheme="minorHAnsi" w:cs="Arial"/>
          <w:sz w:val="22"/>
          <w:szCs w:val="22"/>
          <w:lang w:val="en-US"/>
        </w:rPr>
        <w:t xml:space="preserve">to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protect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 xml:space="preserve"> the information they process.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This document has been produced to enable all staff to understand their individual and collective responsibilities in relation to the GDPR</w:t>
      </w:r>
      <w:r w:rsidR="002D53FA" w:rsidRPr="00A56446">
        <w:rPr>
          <w:rFonts w:asciiTheme="minorHAnsi" w:hAnsiTheme="minorHAnsi" w:cs="Arial"/>
          <w:sz w:val="22"/>
          <w:szCs w:val="22"/>
          <w:lang w:val="en-US"/>
        </w:rPr>
        <w:t>.</w:t>
      </w:r>
    </w:p>
    <w:p w:rsidR="00D32C03" w:rsidRPr="00A56446" w:rsidRDefault="00D32C03" w:rsidP="005B058D">
      <w:pPr>
        <w:rPr>
          <w:rFonts w:asciiTheme="minorHAnsi" w:hAnsiTheme="minorHAnsi" w:cs="Arial"/>
          <w:sz w:val="22"/>
          <w:szCs w:val="22"/>
          <w:lang w:val="en-US"/>
        </w:rPr>
      </w:pPr>
    </w:p>
    <w:p w:rsidR="00D32C03" w:rsidRPr="00A56446" w:rsidRDefault="00807595" w:rsidP="00D32C03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p</w:t>
      </w:r>
      <w:r w:rsidR="00D32C03" w:rsidRPr="00A56446">
        <w:rPr>
          <w:rFonts w:asciiTheme="minorHAnsi" w:hAnsiTheme="minorHAnsi" w:cs="Arial"/>
          <w:sz w:val="22"/>
          <w:szCs w:val="22"/>
          <w:lang w:val="en-US"/>
        </w:rPr>
        <w:t>ractice aims to design and implement policies and procedures that meet the diverse needs of our service and workforce, ensuring that none are placed at a disadvantage over others, in accordan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ce with the Equality Act 2010. </w:t>
      </w:r>
      <w:r w:rsidR="00D32C03" w:rsidRPr="00A56446">
        <w:rPr>
          <w:rFonts w:asciiTheme="minorHAnsi" w:hAnsiTheme="minorHAnsi" w:cs="Arial"/>
          <w:sz w:val="22"/>
          <w:szCs w:val="22"/>
          <w:lang w:val="en-US"/>
        </w:rPr>
        <w:t>Consideration has been given to the impact t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his policy might have in regard</w:t>
      </w:r>
      <w:r w:rsidR="00D32C03" w:rsidRPr="00A56446">
        <w:rPr>
          <w:rFonts w:asciiTheme="minorHAnsi" w:hAnsiTheme="minorHAnsi" w:cs="Arial"/>
          <w:sz w:val="22"/>
          <w:szCs w:val="22"/>
          <w:lang w:val="en-US"/>
        </w:rPr>
        <w:t xml:space="preserve"> to the individual protected characteristics of those to whom it applies.</w:t>
      </w:r>
    </w:p>
    <w:p w:rsidR="00631A5F" w:rsidRPr="00A56446" w:rsidRDefault="00807595" w:rsidP="00631A5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13" w:name="_Toc505696884"/>
      <w:r w:rsidRPr="00A56446">
        <w:rPr>
          <w:rFonts w:asciiTheme="minorHAnsi" w:hAnsiTheme="minorHAnsi"/>
          <w:sz w:val="28"/>
          <w:szCs w:val="28"/>
        </w:rPr>
        <w:lastRenderedPageBreak/>
        <w:t>Definition of t</w:t>
      </w:r>
      <w:r w:rsidR="00631A5F" w:rsidRPr="00A56446">
        <w:rPr>
          <w:rFonts w:asciiTheme="minorHAnsi" w:hAnsiTheme="minorHAnsi"/>
          <w:sz w:val="28"/>
          <w:szCs w:val="28"/>
        </w:rPr>
        <w:t>erms</w:t>
      </w:r>
      <w:bookmarkEnd w:id="13"/>
    </w:p>
    <w:p w:rsidR="00781E32" w:rsidRPr="00A56446" w:rsidRDefault="00781E32" w:rsidP="00631A5F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14" w:name="_Toc505696885"/>
      <w:r w:rsidRPr="00A56446">
        <w:rPr>
          <w:rFonts w:asciiTheme="minorHAnsi" w:hAnsiTheme="minorHAnsi" w:cs="Arial"/>
          <w:smallCaps w:val="0"/>
          <w:sz w:val="24"/>
          <w:szCs w:val="24"/>
        </w:rPr>
        <w:t>Data Protection Bill</w:t>
      </w:r>
    </w:p>
    <w:p w:rsidR="00C91E5D" w:rsidRPr="00A56446" w:rsidRDefault="00C91E5D" w:rsidP="00781E32">
      <w:pPr>
        <w:rPr>
          <w:rFonts w:asciiTheme="minorHAnsi" w:hAnsiTheme="minorHAnsi" w:cs="Arial"/>
          <w:sz w:val="22"/>
          <w:szCs w:val="22"/>
          <w:lang w:val="en-US"/>
        </w:rPr>
      </w:pPr>
    </w:p>
    <w:p w:rsidR="00781E32" w:rsidRPr="00A56446" w:rsidRDefault="00781E32" w:rsidP="00781E32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The </w:t>
      </w:r>
      <w:r w:rsidR="00C91E5D" w:rsidRPr="00A56446">
        <w:rPr>
          <w:rFonts w:asciiTheme="minorHAnsi" w:hAnsiTheme="minorHAnsi" w:cs="Arial"/>
          <w:sz w:val="22"/>
          <w:szCs w:val="22"/>
          <w:lang w:val="en-US"/>
        </w:rPr>
        <w:t>D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ata </w:t>
      </w:r>
      <w:r w:rsidR="00C91E5D" w:rsidRPr="00A56446">
        <w:rPr>
          <w:rFonts w:asciiTheme="minorHAnsi" w:hAnsiTheme="minorHAnsi" w:cs="Arial"/>
          <w:sz w:val="22"/>
          <w:szCs w:val="22"/>
          <w:lang w:val="en-US"/>
        </w:rPr>
        <w:t>P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rotection </w:t>
      </w:r>
      <w:r w:rsidR="00C91E5D" w:rsidRPr="00A56446">
        <w:rPr>
          <w:rFonts w:asciiTheme="minorHAnsi" w:hAnsiTheme="minorHAnsi" w:cs="Arial"/>
          <w:sz w:val="22"/>
          <w:szCs w:val="22"/>
          <w:lang w:val="en-US"/>
        </w:rPr>
        <w:t>B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ill is a complete data protection system, covering general data, law enforcement data and national security data. The Bill will be referred to as the Data Protection Act 2018 (DPA18) in May 2018.</w:t>
      </w:r>
    </w:p>
    <w:p w:rsidR="00631A5F" w:rsidRPr="00A56446" w:rsidRDefault="00807595" w:rsidP="00631A5F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r w:rsidRPr="00A56446">
        <w:rPr>
          <w:rFonts w:asciiTheme="minorHAnsi" w:hAnsiTheme="minorHAnsi" w:cs="Arial"/>
          <w:smallCaps w:val="0"/>
          <w:sz w:val="24"/>
          <w:szCs w:val="24"/>
        </w:rPr>
        <w:t>Data Protection O</w:t>
      </w:r>
      <w:r w:rsidR="004D5971" w:rsidRPr="00A56446">
        <w:rPr>
          <w:rFonts w:asciiTheme="minorHAnsi" w:hAnsiTheme="minorHAnsi" w:cs="Arial"/>
          <w:smallCaps w:val="0"/>
          <w:sz w:val="24"/>
          <w:szCs w:val="24"/>
        </w:rPr>
        <w:t>fficer</w:t>
      </w:r>
      <w:bookmarkEnd w:id="14"/>
    </w:p>
    <w:p w:rsidR="00631A5F" w:rsidRPr="00A56446" w:rsidRDefault="00631A5F" w:rsidP="00631A5F">
      <w:pPr>
        <w:rPr>
          <w:rFonts w:asciiTheme="minorHAnsi" w:hAnsiTheme="minorHAnsi"/>
          <w:lang w:val="en-US"/>
        </w:rPr>
      </w:pPr>
    </w:p>
    <w:p w:rsidR="00631A5F" w:rsidRPr="00A56446" w:rsidRDefault="004D5971" w:rsidP="00631A5F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An expert on data privacy, working independently to ensure compliance with policies and procedure</w:t>
      </w:r>
      <w:r w:rsidR="00BF2B7C" w:rsidRPr="00A56446">
        <w:rPr>
          <w:rFonts w:asciiTheme="minorHAnsi" w:hAnsiTheme="minorHAnsi" w:cs="Arial"/>
          <w:sz w:val="22"/>
          <w:szCs w:val="22"/>
          <w:lang w:val="en-US"/>
        </w:rPr>
        <w:t>.</w:t>
      </w:r>
    </w:p>
    <w:p w:rsidR="00404959" w:rsidRPr="00A56446" w:rsidRDefault="00807595" w:rsidP="00404959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15" w:name="_Toc505696886"/>
      <w:r w:rsidRPr="00A56446">
        <w:rPr>
          <w:rFonts w:asciiTheme="minorHAnsi" w:hAnsiTheme="minorHAnsi" w:cs="Arial"/>
          <w:smallCaps w:val="0"/>
          <w:sz w:val="24"/>
          <w:szCs w:val="24"/>
        </w:rPr>
        <w:t>Data P</w:t>
      </w:r>
      <w:r w:rsidR="004D5971" w:rsidRPr="00A56446">
        <w:rPr>
          <w:rFonts w:asciiTheme="minorHAnsi" w:hAnsiTheme="minorHAnsi" w:cs="Arial"/>
          <w:smallCaps w:val="0"/>
          <w:sz w:val="24"/>
          <w:szCs w:val="24"/>
        </w:rPr>
        <w:t>rotection Authority</w:t>
      </w:r>
      <w:bookmarkEnd w:id="15"/>
    </w:p>
    <w:p w:rsidR="00404959" w:rsidRPr="00A56446" w:rsidRDefault="00404959" w:rsidP="00631A5F">
      <w:pPr>
        <w:rPr>
          <w:rFonts w:asciiTheme="minorHAnsi" w:hAnsiTheme="minorHAnsi" w:cs="Arial"/>
          <w:lang w:val="en-US"/>
        </w:rPr>
      </w:pPr>
    </w:p>
    <w:p w:rsidR="00404959" w:rsidRPr="00A56446" w:rsidRDefault="004D5971" w:rsidP="00631A5F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National authorities tasked with the protection of data and privacy</w:t>
      </w:r>
      <w:r w:rsidR="00404959" w:rsidRPr="00A56446">
        <w:rPr>
          <w:rFonts w:asciiTheme="minorHAnsi" w:hAnsiTheme="minorHAnsi" w:cs="Arial"/>
          <w:sz w:val="22"/>
          <w:szCs w:val="22"/>
          <w:lang w:val="en-US"/>
        </w:rPr>
        <w:t>.</w:t>
      </w:r>
    </w:p>
    <w:p w:rsidR="004D5971" w:rsidRPr="00A56446" w:rsidRDefault="004D5971" w:rsidP="004D5971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16" w:name="_Toc505696887"/>
      <w:r w:rsidRPr="00A56446">
        <w:rPr>
          <w:rFonts w:asciiTheme="minorHAnsi" w:hAnsiTheme="minorHAnsi" w:cs="Arial"/>
          <w:smallCaps w:val="0"/>
          <w:sz w:val="24"/>
          <w:szCs w:val="24"/>
        </w:rPr>
        <w:t>Data Controller</w:t>
      </w:r>
      <w:bookmarkEnd w:id="16"/>
    </w:p>
    <w:p w:rsidR="004D5971" w:rsidRPr="00A56446" w:rsidRDefault="004D5971" w:rsidP="00631A5F">
      <w:pPr>
        <w:rPr>
          <w:rFonts w:asciiTheme="minorHAnsi" w:hAnsiTheme="minorHAnsi" w:cs="Arial"/>
          <w:lang w:val="en-US"/>
        </w:rPr>
      </w:pPr>
    </w:p>
    <w:p w:rsidR="004D5971" w:rsidRPr="00A56446" w:rsidRDefault="004D5971" w:rsidP="00631A5F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entity that dete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>rmines the purposes, conditions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and means of the processing of personal data.</w:t>
      </w:r>
    </w:p>
    <w:p w:rsidR="00154D70" w:rsidRPr="00A56446" w:rsidRDefault="00154D70" w:rsidP="00154D70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17" w:name="_Toc505696888"/>
      <w:r w:rsidRPr="00A56446">
        <w:rPr>
          <w:rFonts w:asciiTheme="minorHAnsi" w:hAnsiTheme="minorHAnsi" w:cs="Arial"/>
          <w:smallCaps w:val="0"/>
          <w:sz w:val="24"/>
          <w:szCs w:val="24"/>
        </w:rPr>
        <w:t>Data Processor</w:t>
      </w:r>
      <w:bookmarkEnd w:id="17"/>
    </w:p>
    <w:p w:rsidR="00154D70" w:rsidRPr="00A56446" w:rsidRDefault="00154D70" w:rsidP="00154D70">
      <w:pPr>
        <w:rPr>
          <w:rFonts w:asciiTheme="minorHAnsi" w:hAnsiTheme="minorHAnsi"/>
          <w:lang w:val="en-US"/>
        </w:rPr>
      </w:pPr>
    </w:p>
    <w:p w:rsidR="00154D70" w:rsidRPr="00A56446" w:rsidRDefault="00154D70" w:rsidP="00631A5F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entity that processes data on behalf of the Data Controller.</w:t>
      </w:r>
    </w:p>
    <w:p w:rsidR="00154D70" w:rsidRPr="00A56446" w:rsidRDefault="00154D70" w:rsidP="00154D70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18" w:name="_Toc505696889"/>
      <w:r w:rsidRPr="00A56446">
        <w:rPr>
          <w:rFonts w:asciiTheme="minorHAnsi" w:hAnsiTheme="minorHAnsi" w:cs="Arial"/>
          <w:smallCaps w:val="0"/>
          <w:sz w:val="24"/>
          <w:szCs w:val="24"/>
        </w:rPr>
        <w:t>Data Subject</w:t>
      </w:r>
      <w:bookmarkEnd w:id="18"/>
    </w:p>
    <w:p w:rsidR="00154D70" w:rsidRPr="00A56446" w:rsidRDefault="00154D70" w:rsidP="00154D70">
      <w:pPr>
        <w:rPr>
          <w:rFonts w:asciiTheme="minorHAnsi" w:hAnsiTheme="minorHAnsi"/>
          <w:lang w:val="en-US"/>
        </w:rPr>
      </w:pPr>
    </w:p>
    <w:p w:rsidR="00154D70" w:rsidRPr="00A56446" w:rsidRDefault="00154D70" w:rsidP="00631A5F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A natural person whose personal da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>ta is processed by a controller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or processor.</w:t>
      </w:r>
    </w:p>
    <w:p w:rsidR="002D53FA" w:rsidRPr="00A56446" w:rsidRDefault="00807595" w:rsidP="002D53FA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19" w:name="_Toc505696890"/>
      <w:r w:rsidRPr="00A56446">
        <w:rPr>
          <w:rFonts w:asciiTheme="minorHAnsi" w:hAnsiTheme="minorHAnsi" w:cs="Arial"/>
          <w:smallCaps w:val="0"/>
          <w:sz w:val="24"/>
          <w:szCs w:val="24"/>
        </w:rPr>
        <w:t>Personal d</w:t>
      </w:r>
      <w:r w:rsidR="004D5971" w:rsidRPr="00A56446">
        <w:rPr>
          <w:rFonts w:asciiTheme="minorHAnsi" w:hAnsiTheme="minorHAnsi" w:cs="Arial"/>
          <w:smallCaps w:val="0"/>
          <w:sz w:val="24"/>
          <w:szCs w:val="24"/>
        </w:rPr>
        <w:t>ata</w:t>
      </w:r>
      <w:bookmarkEnd w:id="19"/>
    </w:p>
    <w:p w:rsidR="002D53FA" w:rsidRPr="00A56446" w:rsidRDefault="002D53FA" w:rsidP="00631A5F">
      <w:pPr>
        <w:rPr>
          <w:rFonts w:asciiTheme="minorHAnsi" w:hAnsiTheme="minorHAnsi" w:cs="Arial"/>
          <w:lang w:val="en-US"/>
        </w:rPr>
      </w:pPr>
    </w:p>
    <w:p w:rsidR="002D53FA" w:rsidRPr="00A56446" w:rsidRDefault="004D5971" w:rsidP="002D53FA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Any information r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>elated to a natural person or ‘data s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ubject’</w:t>
      </w:r>
      <w:r w:rsidR="002D53FA" w:rsidRPr="00A56446">
        <w:rPr>
          <w:rFonts w:asciiTheme="minorHAnsi" w:hAnsiTheme="minorHAnsi" w:cs="Arial"/>
          <w:sz w:val="22"/>
          <w:szCs w:val="22"/>
          <w:lang w:val="en-US"/>
        </w:rPr>
        <w:t xml:space="preserve">.  </w:t>
      </w:r>
    </w:p>
    <w:p w:rsidR="002D53FA" w:rsidRPr="00A56446" w:rsidRDefault="004D5971" w:rsidP="002D53FA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20" w:name="_Toc505696891"/>
      <w:r w:rsidRPr="00A56446">
        <w:rPr>
          <w:rFonts w:asciiTheme="minorHAnsi" w:hAnsiTheme="minorHAnsi" w:cs="Arial"/>
          <w:smallCaps w:val="0"/>
          <w:sz w:val="24"/>
          <w:szCs w:val="24"/>
        </w:rPr>
        <w:t>Processing</w:t>
      </w:r>
      <w:bookmarkEnd w:id="20"/>
    </w:p>
    <w:p w:rsidR="002D53FA" w:rsidRPr="00A56446" w:rsidRDefault="002D53FA" w:rsidP="002D53FA">
      <w:pPr>
        <w:rPr>
          <w:rFonts w:asciiTheme="minorHAnsi" w:hAnsiTheme="minorHAnsi" w:cs="Arial"/>
          <w:lang w:val="en-US"/>
        </w:rPr>
      </w:pPr>
    </w:p>
    <w:p w:rsidR="002D53FA" w:rsidRPr="00A56446" w:rsidRDefault="004D5971" w:rsidP="002D53FA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Any operation performed on personal data, whether automated or not.</w:t>
      </w:r>
    </w:p>
    <w:p w:rsidR="004D5971" w:rsidRPr="00A56446" w:rsidRDefault="004D5971" w:rsidP="004D5971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21" w:name="_Toc505696892"/>
      <w:r w:rsidRPr="00A56446">
        <w:rPr>
          <w:rFonts w:asciiTheme="minorHAnsi" w:hAnsiTheme="minorHAnsi" w:cs="Arial"/>
          <w:smallCaps w:val="0"/>
          <w:sz w:val="24"/>
          <w:szCs w:val="24"/>
        </w:rPr>
        <w:t>Recipient</w:t>
      </w:r>
      <w:bookmarkEnd w:id="21"/>
    </w:p>
    <w:p w:rsidR="004D5971" w:rsidRPr="00A56446" w:rsidRDefault="004D5971" w:rsidP="002D53FA">
      <w:pPr>
        <w:rPr>
          <w:rFonts w:asciiTheme="minorHAnsi" w:hAnsiTheme="minorHAnsi" w:cs="Arial"/>
          <w:lang w:val="en-US"/>
        </w:rPr>
      </w:pPr>
    </w:p>
    <w:p w:rsidR="004D5971" w:rsidRPr="00A56446" w:rsidRDefault="004D5971" w:rsidP="002D53FA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entity to which personal data is disclosed.</w:t>
      </w:r>
    </w:p>
    <w:p w:rsidR="005B058D" w:rsidRPr="00A56446" w:rsidRDefault="00154D70" w:rsidP="005B058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22" w:name="_Toc505696893"/>
      <w:r w:rsidRPr="00A56446">
        <w:rPr>
          <w:rFonts w:asciiTheme="minorHAnsi" w:hAnsiTheme="minorHAnsi"/>
          <w:sz w:val="28"/>
          <w:szCs w:val="28"/>
        </w:rPr>
        <w:lastRenderedPageBreak/>
        <w:t xml:space="preserve">The build-up to </w:t>
      </w:r>
      <w:r w:rsidR="00807595" w:rsidRPr="00A56446">
        <w:rPr>
          <w:rFonts w:asciiTheme="minorHAnsi" w:hAnsiTheme="minorHAnsi"/>
          <w:sz w:val="28"/>
          <w:szCs w:val="28"/>
        </w:rPr>
        <w:t xml:space="preserve">the </w:t>
      </w:r>
      <w:r w:rsidRPr="00A56446">
        <w:rPr>
          <w:rFonts w:asciiTheme="minorHAnsi" w:hAnsiTheme="minorHAnsi"/>
          <w:sz w:val="28"/>
          <w:szCs w:val="28"/>
        </w:rPr>
        <w:t>GDPR</w:t>
      </w:r>
      <w:bookmarkEnd w:id="22"/>
    </w:p>
    <w:p w:rsidR="005B058D" w:rsidRPr="00A56446" w:rsidRDefault="00BA25E8" w:rsidP="005B058D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23" w:name="_Toc505696894"/>
      <w:r w:rsidRPr="00A56446">
        <w:rPr>
          <w:rFonts w:asciiTheme="minorHAnsi" w:hAnsiTheme="minorHAnsi" w:cs="Arial"/>
          <w:smallCaps w:val="0"/>
          <w:sz w:val="24"/>
          <w:szCs w:val="24"/>
        </w:rPr>
        <w:t>Background</w:t>
      </w:r>
      <w:bookmarkEnd w:id="23"/>
    </w:p>
    <w:p w:rsidR="001A7A41" w:rsidRPr="00A56446" w:rsidRDefault="001A7A41" w:rsidP="001A7A41">
      <w:pPr>
        <w:rPr>
          <w:rFonts w:asciiTheme="minorHAnsi" w:hAnsiTheme="minorHAnsi"/>
          <w:lang w:val="en-US"/>
        </w:rPr>
      </w:pPr>
    </w:p>
    <w:p w:rsidR="001A7A41" w:rsidRPr="00A56446" w:rsidRDefault="00807595" w:rsidP="005067B1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The GDPR is based </w:t>
      </w:r>
      <w:r w:rsidR="00BA25E8" w:rsidRPr="00A56446">
        <w:rPr>
          <w:rFonts w:asciiTheme="minorHAnsi" w:hAnsiTheme="minorHAnsi" w:cs="Arial"/>
          <w:sz w:val="22"/>
          <w:szCs w:val="22"/>
          <w:lang w:val="en-US"/>
        </w:rPr>
        <w:t>on the 1980 Protection of Privacy and Transborder Flows of Personal Data Guidelines, which outlined eight principles:</w:t>
      </w:r>
    </w:p>
    <w:p w:rsidR="00BA25E8" w:rsidRPr="00A56446" w:rsidRDefault="00BA25E8" w:rsidP="005067B1">
      <w:pPr>
        <w:rPr>
          <w:rFonts w:asciiTheme="minorHAnsi" w:hAnsiTheme="minorHAnsi" w:cs="Arial"/>
          <w:sz w:val="22"/>
          <w:szCs w:val="22"/>
          <w:lang w:val="en-US"/>
        </w:rPr>
      </w:pPr>
    </w:p>
    <w:p w:rsidR="00BA25E8" w:rsidRPr="00A56446" w:rsidRDefault="00807595" w:rsidP="00204801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Collection l</w:t>
      </w:r>
      <w:r w:rsidR="00BA25E8" w:rsidRPr="00A56446">
        <w:rPr>
          <w:rFonts w:cs="Arial"/>
          <w:lang w:val="en-US"/>
        </w:rPr>
        <w:t>imitation</w:t>
      </w:r>
    </w:p>
    <w:p w:rsidR="00BA25E8" w:rsidRPr="00A56446" w:rsidRDefault="00807595" w:rsidP="00204801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Data q</w:t>
      </w:r>
      <w:r w:rsidR="00BA25E8" w:rsidRPr="00A56446">
        <w:rPr>
          <w:rFonts w:cs="Arial"/>
          <w:lang w:val="en-US"/>
        </w:rPr>
        <w:t>uality</w:t>
      </w:r>
    </w:p>
    <w:p w:rsidR="00BA25E8" w:rsidRPr="00A56446" w:rsidRDefault="00BA25E8" w:rsidP="00204801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Pur</w:t>
      </w:r>
      <w:r w:rsidR="00807595" w:rsidRPr="00A56446">
        <w:rPr>
          <w:rFonts w:cs="Arial"/>
          <w:lang w:val="en-US"/>
        </w:rPr>
        <w:t>pose s</w:t>
      </w:r>
      <w:r w:rsidRPr="00A56446">
        <w:rPr>
          <w:rFonts w:cs="Arial"/>
          <w:lang w:val="en-US"/>
        </w:rPr>
        <w:t>pecification</w:t>
      </w:r>
    </w:p>
    <w:p w:rsidR="00BA25E8" w:rsidRPr="00A56446" w:rsidRDefault="00807595" w:rsidP="00204801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Use l</w:t>
      </w:r>
      <w:r w:rsidR="00BA25E8" w:rsidRPr="00A56446">
        <w:rPr>
          <w:rFonts w:cs="Arial"/>
          <w:lang w:val="en-US"/>
        </w:rPr>
        <w:t>imitation</w:t>
      </w:r>
    </w:p>
    <w:p w:rsidR="00BA25E8" w:rsidRPr="00A56446" w:rsidRDefault="00807595" w:rsidP="00204801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Security s</w:t>
      </w:r>
      <w:r w:rsidR="00BA25E8" w:rsidRPr="00A56446">
        <w:rPr>
          <w:rFonts w:cs="Arial"/>
          <w:lang w:val="en-US"/>
        </w:rPr>
        <w:t>afeguards</w:t>
      </w:r>
    </w:p>
    <w:p w:rsidR="00BA25E8" w:rsidRPr="00A56446" w:rsidRDefault="00BA25E8" w:rsidP="00204801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Openness</w:t>
      </w:r>
    </w:p>
    <w:p w:rsidR="00BA25E8" w:rsidRPr="00A56446" w:rsidRDefault="00807595" w:rsidP="00204801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Individual p</w:t>
      </w:r>
      <w:r w:rsidR="00BA25E8" w:rsidRPr="00A56446">
        <w:rPr>
          <w:rFonts w:cs="Arial"/>
          <w:lang w:val="en-US"/>
        </w:rPr>
        <w:t>articipation</w:t>
      </w:r>
    </w:p>
    <w:p w:rsidR="00BA25E8" w:rsidRPr="00A56446" w:rsidRDefault="00BA25E8" w:rsidP="00204801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Accountability</w:t>
      </w:r>
    </w:p>
    <w:p w:rsidR="00E76417" w:rsidRPr="00A56446" w:rsidRDefault="00BA25E8" w:rsidP="00E76417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24" w:name="_Toc505696895"/>
      <w:r w:rsidRPr="00A56446">
        <w:rPr>
          <w:rFonts w:asciiTheme="minorHAnsi" w:hAnsiTheme="minorHAnsi" w:cs="Arial"/>
          <w:smallCaps w:val="0"/>
          <w:sz w:val="24"/>
          <w:szCs w:val="24"/>
        </w:rPr>
        <w:t>NHS Digital</w:t>
      </w:r>
      <w:bookmarkEnd w:id="24"/>
    </w:p>
    <w:p w:rsidR="00E76417" w:rsidRPr="00A56446" w:rsidRDefault="00E76417" w:rsidP="00E76417">
      <w:pPr>
        <w:rPr>
          <w:rFonts w:asciiTheme="minorHAnsi" w:hAnsiTheme="minorHAnsi"/>
          <w:lang w:val="en-US"/>
        </w:rPr>
      </w:pPr>
    </w:p>
    <w:p w:rsidR="00E76417" w:rsidRPr="00A56446" w:rsidRDefault="00BA25E8" w:rsidP="007559A8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Information Governance Alli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>ance (IGA) is the authority that gives advice and guidance on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the rules governing the use and sharing of healthca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>re-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re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 xml:space="preserve">lated information for the NHS.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As a result of the imminent introduction of the GDPR, an NHS policy is being developed by the GDPR working group and will be published in due course.</w:t>
      </w:r>
    </w:p>
    <w:p w:rsidR="00BA25E8" w:rsidRPr="00A56446" w:rsidRDefault="00BA25E8" w:rsidP="007559A8">
      <w:pPr>
        <w:rPr>
          <w:rFonts w:asciiTheme="minorHAnsi" w:hAnsiTheme="minorHAnsi" w:cs="Arial"/>
          <w:sz w:val="22"/>
          <w:szCs w:val="22"/>
          <w:lang w:val="en-US"/>
        </w:rPr>
      </w:pPr>
    </w:p>
    <w:p w:rsidR="00BA25E8" w:rsidRPr="00A56446" w:rsidRDefault="00807595" w:rsidP="007559A8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NHS Digital provides up-to-</w:t>
      </w:r>
      <w:r w:rsidR="00BA25E8" w:rsidRPr="00A56446">
        <w:rPr>
          <w:rFonts w:asciiTheme="minorHAnsi" w:hAnsiTheme="minorHAnsi" w:cs="Arial"/>
          <w:sz w:val="22"/>
          <w:szCs w:val="22"/>
          <w:lang w:val="en-US"/>
        </w:rPr>
        <w:t>date information regarding the GDPR as well as a range of useful guidance documentation.</w:t>
      </w:r>
      <w:r w:rsidR="00BA25E8" w:rsidRPr="00A56446">
        <w:rPr>
          <w:rStyle w:val="FootnoteReference"/>
          <w:rFonts w:asciiTheme="minorHAnsi" w:hAnsiTheme="minorHAnsi" w:cs="Arial"/>
          <w:sz w:val="22"/>
          <w:szCs w:val="22"/>
          <w:lang w:val="en-US"/>
        </w:rPr>
        <w:footnoteReference w:id="2"/>
      </w:r>
    </w:p>
    <w:p w:rsidR="007F1958" w:rsidRPr="00A56446" w:rsidRDefault="00BA25E8" w:rsidP="007F1958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25" w:name="_Toc505696896"/>
      <w:r w:rsidRPr="00A56446">
        <w:rPr>
          <w:rFonts w:asciiTheme="minorHAnsi" w:hAnsiTheme="minorHAnsi" w:cs="Arial"/>
          <w:smallCaps w:val="0"/>
          <w:sz w:val="24"/>
          <w:szCs w:val="24"/>
        </w:rPr>
        <w:t>Aim of the GDPR</w:t>
      </w:r>
      <w:bookmarkEnd w:id="25"/>
    </w:p>
    <w:p w:rsidR="007F1958" w:rsidRPr="00A56446" w:rsidRDefault="007F1958" w:rsidP="007F1958">
      <w:pPr>
        <w:rPr>
          <w:rFonts w:asciiTheme="minorHAnsi" w:hAnsiTheme="minorHAnsi"/>
          <w:lang w:val="en-US"/>
        </w:rPr>
      </w:pPr>
    </w:p>
    <w:p w:rsidR="00682B45" w:rsidRPr="00A56446" w:rsidRDefault="00BA25E8" w:rsidP="00682B45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GDPR was designed to harmonise data privacy laws across Europe, to protect and empower all EU citizens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>’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data privacy and to reshape the way 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 xml:space="preserve">in which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organisations across the region approach data privacy</w:t>
      </w:r>
      <w:r w:rsidR="007B711A" w:rsidRPr="00A56446">
        <w:rPr>
          <w:rFonts w:asciiTheme="minorHAnsi" w:hAnsiTheme="minorHAnsi" w:cs="Arial"/>
          <w:sz w:val="22"/>
          <w:szCs w:val="22"/>
          <w:lang w:val="en-US"/>
        </w:rPr>
        <w:t>.</w:t>
      </w:r>
      <w:r w:rsidRPr="00A56446">
        <w:rPr>
          <w:rStyle w:val="FootnoteReference"/>
          <w:rFonts w:asciiTheme="minorHAnsi" w:hAnsiTheme="minorHAnsi" w:cs="Arial"/>
          <w:sz w:val="22"/>
          <w:szCs w:val="22"/>
          <w:lang w:val="en-US"/>
        </w:rPr>
        <w:footnoteReference w:id="3"/>
      </w:r>
    </w:p>
    <w:p w:rsidR="00682B45" w:rsidRPr="00A56446" w:rsidRDefault="00BB31FA" w:rsidP="00682B45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26" w:name="_Toc505696897"/>
      <w:r w:rsidRPr="00A56446">
        <w:rPr>
          <w:rFonts w:asciiTheme="minorHAnsi" w:hAnsiTheme="minorHAnsi" w:cs="Arial"/>
          <w:smallCaps w:val="0"/>
          <w:sz w:val="24"/>
          <w:szCs w:val="24"/>
        </w:rPr>
        <w:t>Brexit and the GDPR</w:t>
      </w:r>
      <w:bookmarkEnd w:id="26"/>
    </w:p>
    <w:p w:rsidR="00682B45" w:rsidRPr="00A56446" w:rsidRDefault="00682B45" w:rsidP="00682B45">
      <w:pPr>
        <w:rPr>
          <w:rFonts w:asciiTheme="minorHAnsi" w:hAnsiTheme="minorHAnsi"/>
          <w:lang w:val="en-US"/>
        </w:rPr>
      </w:pPr>
    </w:p>
    <w:p w:rsidR="0035050E" w:rsidRPr="00A56446" w:rsidRDefault="00BB31FA" w:rsidP="005067B1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Despite leaving the EU, the GDPR will still be enforced, as it applies p</w:t>
      </w:r>
      <w:r w:rsidR="0035050E" w:rsidRPr="00A56446">
        <w:rPr>
          <w:rFonts w:asciiTheme="minorHAnsi" w:hAnsiTheme="minorHAnsi" w:cs="Arial"/>
          <w:sz w:val="22"/>
          <w:szCs w:val="22"/>
          <w:lang w:val="en-US"/>
        </w:rPr>
        <w:t xml:space="preserve">rior to the UK leaving the EU.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The Regulation will be applicable as law</w:t>
      </w:r>
      <w:r w:rsidR="0035050E" w:rsidRPr="00A56446">
        <w:rPr>
          <w:rFonts w:asciiTheme="minorHAnsi" w:hAnsiTheme="minorHAnsi" w:cs="Arial"/>
          <w:sz w:val="22"/>
          <w:szCs w:val="22"/>
          <w:lang w:val="en-US"/>
        </w:rPr>
        <w:t xml:space="preserve"> in the UK with effect from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25</w:t>
      </w:r>
      <w:r w:rsidRPr="00A56446">
        <w:rPr>
          <w:rFonts w:asciiTheme="minorHAnsi" w:hAnsiTheme="minorHAnsi" w:cs="Arial"/>
          <w:sz w:val="22"/>
          <w:szCs w:val="22"/>
          <w:vertAlign w:val="superscript"/>
          <w:lang w:val="en-US"/>
        </w:rPr>
        <w:t>th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May 2018.  </w:t>
      </w:r>
    </w:p>
    <w:p w:rsidR="00781E32" w:rsidRPr="00A56446" w:rsidRDefault="00781E32" w:rsidP="005067B1">
      <w:pPr>
        <w:rPr>
          <w:rFonts w:asciiTheme="minorHAnsi" w:hAnsiTheme="minorHAnsi" w:cs="Arial"/>
          <w:sz w:val="22"/>
          <w:szCs w:val="22"/>
          <w:lang w:val="en-US"/>
        </w:rPr>
      </w:pPr>
    </w:p>
    <w:p w:rsidR="00E23FDB" w:rsidRPr="00A56446" w:rsidRDefault="00E23FDB" w:rsidP="00E23FDB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r w:rsidRPr="00A56446">
        <w:rPr>
          <w:rFonts w:asciiTheme="minorHAnsi" w:hAnsiTheme="minorHAnsi" w:cs="Arial"/>
          <w:smallCaps w:val="0"/>
          <w:sz w:val="24"/>
          <w:szCs w:val="24"/>
        </w:rPr>
        <w:t>GDPR and DPA18</w:t>
      </w:r>
    </w:p>
    <w:p w:rsidR="00E23FDB" w:rsidRPr="00A56446" w:rsidRDefault="00E23FDB" w:rsidP="00E23FDB">
      <w:pPr>
        <w:rPr>
          <w:rFonts w:asciiTheme="minorHAnsi" w:hAnsiTheme="minorHAnsi"/>
        </w:rPr>
      </w:pPr>
    </w:p>
    <w:p w:rsidR="00E23FDB" w:rsidRPr="00A56446" w:rsidRDefault="00E23FDB" w:rsidP="00E23FDB">
      <w:pPr>
        <w:rPr>
          <w:rFonts w:asciiTheme="minorHAnsi" w:hAnsiTheme="minorHAnsi" w:cs="Arial"/>
          <w:smallCaps/>
          <w:sz w:val="22"/>
          <w:szCs w:val="22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To ensure </w:t>
      </w:r>
      <w:r w:rsidR="00C91E5D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that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organisations have a complete overview of the legislation as of 25</w:t>
      </w:r>
      <w:r w:rsidRPr="00A56446">
        <w:rPr>
          <w:rFonts w:asciiTheme="minorHAnsi" w:hAnsiTheme="minorHAnsi" w:cs="Arial"/>
          <w:sz w:val="22"/>
          <w:szCs w:val="22"/>
          <w:vertAlign w:val="superscript"/>
          <w:lang w:val="en-US" w:eastAsia="en-US"/>
        </w:rPr>
        <w:t>th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May 2018, it will be necessary to view the GDPR and DPA18 side by side.</w:t>
      </w:r>
      <w:r w:rsidRPr="00A56446">
        <w:rPr>
          <w:rStyle w:val="FootnoteReference"/>
          <w:rFonts w:asciiTheme="minorHAnsi" w:hAnsiTheme="minorHAnsi" w:cs="Arial"/>
          <w:sz w:val="22"/>
          <w:szCs w:val="22"/>
          <w:lang w:val="en-US" w:eastAsia="en-US"/>
        </w:rPr>
        <w:footnoteReference w:id="4"/>
      </w:r>
    </w:p>
    <w:p w:rsidR="005067B1" w:rsidRPr="00A56446" w:rsidRDefault="00B353C6" w:rsidP="005067B1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27" w:name="_Toc505696898"/>
      <w:r w:rsidRPr="00A56446">
        <w:rPr>
          <w:rFonts w:asciiTheme="minorHAnsi" w:hAnsiTheme="minorHAnsi"/>
          <w:sz w:val="28"/>
          <w:szCs w:val="28"/>
        </w:rPr>
        <w:lastRenderedPageBreak/>
        <w:t>Roles of data controllers and processors</w:t>
      </w:r>
      <w:bookmarkEnd w:id="27"/>
    </w:p>
    <w:p w:rsidR="005407DE" w:rsidRPr="00A56446" w:rsidRDefault="0035050E" w:rsidP="005407DE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28" w:name="_Toc505696899"/>
      <w:r w:rsidRPr="00A56446">
        <w:rPr>
          <w:rFonts w:asciiTheme="minorHAnsi" w:hAnsiTheme="minorHAnsi" w:cs="Arial"/>
          <w:smallCaps w:val="0"/>
          <w:sz w:val="24"/>
          <w:szCs w:val="24"/>
        </w:rPr>
        <w:t>Data c</w:t>
      </w:r>
      <w:r w:rsidR="00B353C6" w:rsidRPr="00A56446">
        <w:rPr>
          <w:rFonts w:asciiTheme="minorHAnsi" w:hAnsiTheme="minorHAnsi" w:cs="Arial"/>
          <w:smallCaps w:val="0"/>
          <w:sz w:val="24"/>
          <w:szCs w:val="24"/>
        </w:rPr>
        <w:t>ontroller</w:t>
      </w:r>
      <w:bookmarkEnd w:id="28"/>
    </w:p>
    <w:p w:rsidR="005407DE" w:rsidRPr="00A56446" w:rsidRDefault="005407DE" w:rsidP="005407DE">
      <w:pPr>
        <w:rPr>
          <w:rFonts w:asciiTheme="minorHAnsi" w:hAnsiTheme="minorHAnsi"/>
          <w:lang w:val="en-US"/>
        </w:rPr>
      </w:pPr>
    </w:p>
    <w:p w:rsidR="000155E6" w:rsidRPr="00A56446" w:rsidRDefault="00B353C6" w:rsidP="000155E6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A56446">
        <w:rPr>
          <w:rFonts w:asciiTheme="minorHAnsi" w:hAnsiTheme="minorHAnsi" w:cs="Arial"/>
          <w:color w:val="000000" w:themeColor="text1"/>
          <w:sz w:val="22"/>
          <w:szCs w:val="22"/>
        </w:rPr>
        <w:t xml:space="preserve">At </w:t>
      </w:r>
      <w:r w:rsidR="006630C5">
        <w:rPr>
          <w:rFonts w:asciiTheme="minorHAnsi" w:hAnsiTheme="minorHAnsi" w:cs="Arial"/>
          <w:color w:val="000000" w:themeColor="text1"/>
          <w:sz w:val="22"/>
          <w:szCs w:val="22"/>
        </w:rPr>
        <w:t>Dr Johnston &amp; Partners</w:t>
      </w:r>
      <w:r w:rsidRPr="00A56446">
        <w:rPr>
          <w:rFonts w:asciiTheme="minorHAnsi" w:hAnsiTheme="minorHAnsi" w:cs="Arial"/>
          <w:color w:val="000000" w:themeColor="text1"/>
          <w:sz w:val="22"/>
          <w:szCs w:val="22"/>
        </w:rPr>
        <w:t xml:space="preserve">the role of the data controller is to ensure </w:t>
      </w:r>
      <w:r w:rsidR="0035050E" w:rsidRPr="00A56446">
        <w:rPr>
          <w:rFonts w:asciiTheme="minorHAnsi" w:hAnsiTheme="minorHAnsi" w:cs="Arial"/>
          <w:color w:val="000000" w:themeColor="text1"/>
          <w:sz w:val="22"/>
          <w:szCs w:val="22"/>
        </w:rPr>
        <w:t xml:space="preserve">that </w:t>
      </w:r>
      <w:r w:rsidRPr="00A56446">
        <w:rPr>
          <w:rFonts w:asciiTheme="minorHAnsi" w:hAnsiTheme="minorHAnsi" w:cs="Arial"/>
          <w:color w:val="000000" w:themeColor="text1"/>
          <w:sz w:val="22"/>
          <w:szCs w:val="22"/>
        </w:rPr>
        <w:t>data is processed in accordance with Article 5 of the Regulation</w:t>
      </w:r>
      <w:r w:rsidR="00043EE9" w:rsidRPr="00A56446">
        <w:rPr>
          <w:rFonts w:asciiTheme="minorHAnsi" w:hAnsiTheme="minorHAnsi" w:cs="Arial"/>
          <w:color w:val="000000" w:themeColor="text1"/>
          <w:sz w:val="22"/>
          <w:szCs w:val="22"/>
        </w:rPr>
        <w:t xml:space="preserve">. He/she </w:t>
      </w:r>
      <w:r w:rsidRPr="00A56446">
        <w:rPr>
          <w:rFonts w:asciiTheme="minorHAnsi" w:hAnsiTheme="minorHAnsi" w:cs="Arial"/>
          <w:color w:val="000000" w:themeColor="text1"/>
          <w:sz w:val="22"/>
          <w:szCs w:val="22"/>
        </w:rPr>
        <w:t xml:space="preserve">should be able to demonstrate compliance </w:t>
      </w:r>
      <w:r w:rsidR="00043EE9" w:rsidRPr="00A56446">
        <w:rPr>
          <w:rFonts w:asciiTheme="minorHAnsi" w:hAnsiTheme="minorHAnsi" w:cs="Arial"/>
          <w:color w:val="000000" w:themeColor="text1"/>
          <w:sz w:val="22"/>
          <w:szCs w:val="22"/>
        </w:rPr>
        <w:t>and is responsible for making sure</w:t>
      </w:r>
      <w:r w:rsidRPr="00A56446">
        <w:rPr>
          <w:rFonts w:asciiTheme="minorHAnsi" w:hAnsiTheme="minorHAnsi" w:cs="Arial"/>
          <w:color w:val="000000" w:themeColor="text1"/>
          <w:sz w:val="22"/>
          <w:szCs w:val="22"/>
        </w:rPr>
        <w:t xml:space="preserve"> data is:</w:t>
      </w:r>
      <w:r w:rsidRPr="00A56446">
        <w:rPr>
          <w:rStyle w:val="FootnoteReference"/>
          <w:rFonts w:asciiTheme="minorHAnsi" w:hAnsiTheme="minorHAnsi" w:cs="Arial"/>
          <w:color w:val="000000" w:themeColor="text1"/>
          <w:sz w:val="22"/>
          <w:szCs w:val="22"/>
        </w:rPr>
        <w:footnoteReference w:id="5"/>
      </w:r>
    </w:p>
    <w:p w:rsidR="00B353C6" w:rsidRPr="00A56446" w:rsidRDefault="00B353C6" w:rsidP="000155E6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353C6" w:rsidRPr="00A56446" w:rsidRDefault="0020058A" w:rsidP="00204801">
      <w:pPr>
        <w:pStyle w:val="ListParagraph"/>
        <w:numPr>
          <w:ilvl w:val="0"/>
          <w:numId w:val="3"/>
        </w:numPr>
        <w:rPr>
          <w:rFonts w:eastAsia="Times New Roman" w:cs="Arial"/>
          <w:lang w:eastAsia="en-GB"/>
        </w:rPr>
      </w:pPr>
      <w:r w:rsidRPr="00A56446">
        <w:rPr>
          <w:rFonts w:eastAsia="Times New Roman" w:cs="Arial"/>
          <w:color w:val="333333"/>
          <w:shd w:val="clear" w:color="auto" w:fill="FFFFFF"/>
          <w:lang w:eastAsia="en-GB"/>
        </w:rPr>
        <w:t>P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>rocessed lawfully, fairly and in a transparent manner in relation to the data subject </w:t>
      </w:r>
    </w:p>
    <w:p w:rsidR="00B353C6" w:rsidRPr="00A56446" w:rsidRDefault="0020058A" w:rsidP="00204801">
      <w:pPr>
        <w:pStyle w:val="ListParagraph"/>
        <w:numPr>
          <w:ilvl w:val="0"/>
          <w:numId w:val="3"/>
        </w:numPr>
        <w:rPr>
          <w:rFonts w:eastAsia="Times New Roman" w:cs="Arial"/>
          <w:lang w:eastAsia="en-GB"/>
        </w:rPr>
      </w:pPr>
      <w:r w:rsidRPr="00A56446">
        <w:rPr>
          <w:rFonts w:eastAsia="Times New Roman" w:cs="Arial"/>
          <w:color w:val="333333"/>
          <w:shd w:val="clear" w:color="auto" w:fill="FFFFFF"/>
          <w:lang w:eastAsia="en-GB"/>
        </w:rPr>
        <w:t>C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>ollected for specified, explicit and legitimate purposes and not further processed in a manner that is incompatible with those purposes</w:t>
      </w:r>
    </w:p>
    <w:p w:rsidR="00B353C6" w:rsidRPr="00A56446" w:rsidRDefault="0020058A" w:rsidP="00204801">
      <w:pPr>
        <w:pStyle w:val="ListParagraph"/>
        <w:numPr>
          <w:ilvl w:val="0"/>
          <w:numId w:val="3"/>
        </w:numPr>
        <w:rPr>
          <w:rFonts w:eastAsia="Times New Roman" w:cs="Arial"/>
          <w:lang w:eastAsia="en-GB"/>
        </w:rPr>
      </w:pPr>
      <w:r w:rsidRPr="00A56446">
        <w:rPr>
          <w:rFonts w:eastAsia="Times New Roman" w:cs="Arial"/>
          <w:color w:val="333333"/>
          <w:shd w:val="clear" w:color="auto" w:fill="FFFFFF"/>
          <w:lang w:eastAsia="en-GB"/>
        </w:rPr>
        <w:t>A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>dequate, relevant and limited to what is necessary in relation to</w:t>
      </w:r>
      <w:r w:rsidR="00043EE9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the purposes for which the data is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processed</w:t>
      </w:r>
    </w:p>
    <w:p w:rsidR="00B353C6" w:rsidRPr="00A56446" w:rsidRDefault="0020058A" w:rsidP="00204801">
      <w:pPr>
        <w:pStyle w:val="ListParagraph"/>
        <w:numPr>
          <w:ilvl w:val="0"/>
          <w:numId w:val="3"/>
        </w:numPr>
        <w:rPr>
          <w:rFonts w:eastAsia="Times New Roman" w:cs="Arial"/>
          <w:lang w:eastAsia="en-GB"/>
        </w:rPr>
      </w:pPr>
      <w:r w:rsidRPr="00A56446">
        <w:rPr>
          <w:rFonts w:eastAsia="Times New Roman" w:cs="Arial"/>
          <w:color w:val="333333"/>
          <w:shd w:val="clear" w:color="auto" w:fill="FFFFFF"/>
          <w:lang w:eastAsia="en-GB"/>
        </w:rPr>
        <w:t>A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>ccurate and, where necessary, kept up to date; every reasonable step must be taken to en</w:t>
      </w:r>
      <w:r w:rsidR="00043EE9" w:rsidRPr="00A56446">
        <w:rPr>
          <w:rFonts w:eastAsia="Times New Roman" w:cs="Arial"/>
          <w:color w:val="333333"/>
          <w:shd w:val="clear" w:color="auto" w:fill="FFFFFF"/>
          <w:lang w:eastAsia="en-GB"/>
        </w:rPr>
        <w:t>sure that personal data which is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inaccurate, having regard to</w:t>
      </w:r>
      <w:r w:rsidR="00043EE9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the purposes for which it is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p</w:t>
      </w:r>
      <w:r w:rsidR="00043EE9" w:rsidRPr="00A56446">
        <w:rPr>
          <w:rFonts w:eastAsia="Times New Roman" w:cs="Arial"/>
          <w:color w:val="333333"/>
          <w:shd w:val="clear" w:color="auto" w:fill="FFFFFF"/>
          <w:lang w:eastAsia="en-GB"/>
        </w:rPr>
        <w:t>rocessed, is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erased or rectified without delay </w:t>
      </w:r>
    </w:p>
    <w:p w:rsidR="00B353C6" w:rsidRPr="00A56446" w:rsidRDefault="0020058A" w:rsidP="00204801">
      <w:pPr>
        <w:pStyle w:val="ListParagraph"/>
        <w:numPr>
          <w:ilvl w:val="0"/>
          <w:numId w:val="3"/>
        </w:numPr>
        <w:rPr>
          <w:rFonts w:eastAsia="Times New Roman" w:cs="Arial"/>
          <w:lang w:eastAsia="en-GB"/>
        </w:rPr>
      </w:pPr>
      <w:r w:rsidRPr="00A56446">
        <w:rPr>
          <w:rFonts w:eastAsia="Times New Roman" w:cs="Arial"/>
          <w:color w:val="333333"/>
          <w:shd w:val="clear" w:color="auto" w:fill="FFFFFF"/>
          <w:lang w:eastAsia="en-GB"/>
        </w:rPr>
        <w:t>K</w:t>
      </w:r>
      <w:r w:rsidR="00043EE9" w:rsidRPr="00A56446">
        <w:rPr>
          <w:rFonts w:eastAsia="Times New Roman" w:cs="Arial"/>
          <w:color w:val="333333"/>
          <w:shd w:val="clear" w:color="auto" w:fill="FFFFFF"/>
          <w:lang w:eastAsia="en-GB"/>
        </w:rPr>
        <w:t>ept in a form that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permits identification of data subjects for no longer than is necessary for the purposes</w:t>
      </w:r>
      <w:r w:rsidR="00043EE9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for which the personal data is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processed</w:t>
      </w:r>
    </w:p>
    <w:p w:rsidR="00B353C6" w:rsidRPr="00A56446" w:rsidRDefault="0020058A" w:rsidP="00204801">
      <w:pPr>
        <w:pStyle w:val="ListParagraph"/>
        <w:numPr>
          <w:ilvl w:val="0"/>
          <w:numId w:val="3"/>
        </w:numPr>
        <w:rPr>
          <w:rFonts w:eastAsia="Times New Roman" w:cs="Arial"/>
          <w:lang w:eastAsia="en-GB"/>
        </w:rPr>
      </w:pPr>
      <w:r w:rsidRPr="00A56446">
        <w:rPr>
          <w:rFonts w:eastAsia="Times New Roman" w:cs="Arial"/>
          <w:color w:val="333333"/>
          <w:shd w:val="clear" w:color="auto" w:fill="FFFFFF"/>
          <w:lang w:eastAsia="en-GB"/>
        </w:rPr>
        <w:t>P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>rocessed in a manner that ensures appropriate security of the personal data, including protection against unauthorised or unlawful processing and against accidental loss, destruction or damage, using appropriate technical or organisational measures</w:t>
      </w:r>
    </w:p>
    <w:p w:rsidR="00B353C6" w:rsidRPr="00A56446" w:rsidRDefault="00B353C6" w:rsidP="004C5D83">
      <w:pPr>
        <w:rPr>
          <w:rFonts w:asciiTheme="minorHAnsi" w:hAnsiTheme="minorHAnsi" w:cs="Arial"/>
          <w:sz w:val="22"/>
          <w:szCs w:val="22"/>
          <w:lang w:val="en-US"/>
        </w:rPr>
      </w:pPr>
    </w:p>
    <w:p w:rsidR="001462F2" w:rsidRPr="00A56446" w:rsidRDefault="001462F2" w:rsidP="004C5D83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The data controller at </w:t>
      </w:r>
      <w:r w:rsidR="006630C5">
        <w:rPr>
          <w:rFonts w:asciiTheme="minorHAnsi" w:hAnsiTheme="minorHAnsi" w:cs="Arial"/>
          <w:sz w:val="22"/>
          <w:szCs w:val="22"/>
          <w:lang w:val="en-US"/>
        </w:rPr>
        <w:t>Dr Johnston &amp; Partners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is</w:t>
      </w:r>
      <w:r w:rsidR="00330B18">
        <w:rPr>
          <w:rFonts w:asciiTheme="minorHAnsi" w:hAnsiTheme="minorHAnsi" w:cs="Arial"/>
          <w:sz w:val="22"/>
          <w:szCs w:val="22"/>
          <w:lang w:val="en-US"/>
        </w:rPr>
        <w:t xml:space="preserve"> Vickie Robinson, Practice Manager</w:t>
      </w:r>
      <w:r w:rsidR="00043EE9" w:rsidRPr="00A56446">
        <w:rPr>
          <w:rFonts w:asciiTheme="minorHAnsi" w:hAnsiTheme="minorHAnsi" w:cs="Arial"/>
          <w:sz w:val="22"/>
          <w:szCs w:val="22"/>
          <w:lang w:val="en-US"/>
        </w:rPr>
        <w:t>;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they are responsible for ensuring </w:t>
      </w:r>
      <w:r w:rsidR="00737EBA" w:rsidRPr="00A56446">
        <w:rPr>
          <w:rFonts w:asciiTheme="minorHAnsi" w:hAnsiTheme="minorHAnsi" w:cs="Arial"/>
          <w:sz w:val="22"/>
          <w:szCs w:val="22"/>
          <w:lang w:val="en-US"/>
        </w:rPr>
        <w:t xml:space="preserve">that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all data processors comply with this policy and the GDPR.</w:t>
      </w:r>
    </w:p>
    <w:p w:rsidR="00AB7728" w:rsidRPr="00A56446" w:rsidRDefault="0035050E" w:rsidP="00AB7728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29" w:name="_Toc505696900"/>
      <w:r w:rsidRPr="00A56446">
        <w:rPr>
          <w:rFonts w:asciiTheme="minorHAnsi" w:hAnsiTheme="minorHAnsi" w:cs="Arial"/>
          <w:smallCaps w:val="0"/>
          <w:sz w:val="24"/>
          <w:szCs w:val="24"/>
        </w:rPr>
        <w:t>Data p</w:t>
      </w:r>
      <w:r w:rsidR="00AB7728" w:rsidRPr="00A56446">
        <w:rPr>
          <w:rFonts w:asciiTheme="minorHAnsi" w:hAnsiTheme="minorHAnsi" w:cs="Arial"/>
          <w:smallCaps w:val="0"/>
          <w:sz w:val="24"/>
          <w:szCs w:val="24"/>
        </w:rPr>
        <w:t>rocessor</w:t>
      </w:r>
      <w:bookmarkEnd w:id="29"/>
    </w:p>
    <w:p w:rsidR="00AB7728" w:rsidRPr="00A56446" w:rsidRDefault="00AB7728" w:rsidP="00AB7728">
      <w:pPr>
        <w:rPr>
          <w:rFonts w:asciiTheme="minorHAnsi" w:hAnsiTheme="minorHAnsi"/>
          <w:lang w:val="en-US"/>
        </w:rPr>
      </w:pPr>
    </w:p>
    <w:p w:rsidR="00AB7728" w:rsidRPr="00A56446" w:rsidRDefault="00DF505E" w:rsidP="00AB7728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Data processors are responsible for the processing of personal data on </w:t>
      </w:r>
      <w:r w:rsidR="00737EBA" w:rsidRPr="00A56446">
        <w:rPr>
          <w:rFonts w:asciiTheme="minorHAnsi" w:hAnsiTheme="minorHAnsi" w:cs="Arial"/>
          <w:sz w:val="22"/>
          <w:szCs w:val="22"/>
          <w:lang w:val="en-US"/>
        </w:rPr>
        <w:t xml:space="preserve">behalf of the data controller.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Processors must ensure </w:t>
      </w:r>
      <w:r w:rsidR="00737EBA" w:rsidRPr="00A56446">
        <w:rPr>
          <w:rFonts w:asciiTheme="minorHAnsi" w:hAnsiTheme="minorHAnsi" w:cs="Arial"/>
          <w:sz w:val="22"/>
          <w:szCs w:val="22"/>
          <w:lang w:val="en-US"/>
        </w:rPr>
        <w:t xml:space="preserve">that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processing is lawful and that at least one of the following applies:</w:t>
      </w:r>
      <w:r w:rsidR="0020058A" w:rsidRPr="00A56446">
        <w:rPr>
          <w:rStyle w:val="FootnoteReference"/>
          <w:rFonts w:asciiTheme="minorHAnsi" w:hAnsiTheme="minorHAnsi" w:cs="Arial"/>
          <w:sz w:val="22"/>
          <w:szCs w:val="22"/>
          <w:lang w:val="en-US"/>
        </w:rPr>
        <w:footnoteReference w:id="6"/>
      </w:r>
    </w:p>
    <w:p w:rsidR="00DF505E" w:rsidRPr="00A56446" w:rsidRDefault="00DF505E" w:rsidP="00AB7728">
      <w:pPr>
        <w:rPr>
          <w:rFonts w:asciiTheme="minorHAnsi" w:hAnsiTheme="minorHAnsi" w:cs="Arial"/>
          <w:sz w:val="22"/>
          <w:szCs w:val="22"/>
          <w:lang w:val="en-US"/>
        </w:rPr>
      </w:pPr>
    </w:p>
    <w:p w:rsidR="00DF505E" w:rsidRPr="00A56446" w:rsidRDefault="00DF505E" w:rsidP="00204801">
      <w:pPr>
        <w:pStyle w:val="ListParagraph"/>
        <w:numPr>
          <w:ilvl w:val="0"/>
          <w:numId w:val="4"/>
        </w:numPr>
        <w:rPr>
          <w:rFonts w:eastAsia="Times New Roman" w:cs="Arial"/>
          <w:sz w:val="24"/>
          <w:szCs w:val="24"/>
        </w:rPr>
      </w:pPr>
      <w:r w:rsidRPr="00A56446">
        <w:rPr>
          <w:rFonts w:cs="Arial"/>
          <w:color w:val="333333"/>
          <w:shd w:val="clear" w:color="auto" w:fill="FFFFFF"/>
        </w:rPr>
        <w:t>The data subject has given cons</w:t>
      </w:r>
      <w:r w:rsidR="00737EBA" w:rsidRPr="00A56446">
        <w:rPr>
          <w:rFonts w:cs="Arial"/>
          <w:color w:val="333333"/>
          <w:shd w:val="clear" w:color="auto" w:fill="FFFFFF"/>
        </w:rPr>
        <w:t>ent to the processing of his/</w:t>
      </w:r>
      <w:r w:rsidRPr="00A56446">
        <w:rPr>
          <w:rFonts w:cs="Arial"/>
          <w:color w:val="333333"/>
          <w:shd w:val="clear" w:color="auto" w:fill="FFFFFF"/>
        </w:rPr>
        <w:t>her personal data for one or more specific purposes</w:t>
      </w:r>
    </w:p>
    <w:p w:rsidR="00DF505E" w:rsidRPr="00A56446" w:rsidRDefault="00DF505E" w:rsidP="00204801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A56446">
        <w:rPr>
          <w:rFonts w:cs="Arial"/>
          <w:color w:val="333333"/>
          <w:shd w:val="clear" w:color="auto" w:fill="FFFFFF"/>
        </w:rPr>
        <w:t>Processing is necessary for the performance of a contract to which the data subject is party</w:t>
      </w:r>
      <w:r w:rsidR="00737EBA" w:rsidRPr="00A56446">
        <w:rPr>
          <w:rFonts w:cs="Arial"/>
          <w:color w:val="333333"/>
          <w:shd w:val="clear" w:color="auto" w:fill="FFFFFF"/>
        </w:rPr>
        <w:t>,</w:t>
      </w:r>
      <w:r w:rsidRPr="00A56446">
        <w:rPr>
          <w:rFonts w:cs="Arial"/>
          <w:color w:val="333333"/>
          <w:shd w:val="clear" w:color="auto" w:fill="FFFFFF"/>
        </w:rPr>
        <w:t xml:space="preserve"> or in order to take steps at the request of the data subject prior to entering into a contract</w:t>
      </w:r>
    </w:p>
    <w:p w:rsidR="00DF505E" w:rsidRPr="00A56446" w:rsidRDefault="00DF505E" w:rsidP="00204801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A56446">
        <w:rPr>
          <w:rFonts w:cs="Arial"/>
          <w:color w:val="333333"/>
          <w:shd w:val="clear" w:color="auto" w:fill="FFFFFF"/>
        </w:rPr>
        <w:t>Processing is necessary for compliance with a legal obligation to which the controller is subject</w:t>
      </w:r>
    </w:p>
    <w:p w:rsidR="00DF505E" w:rsidRPr="00A56446" w:rsidRDefault="00DF505E" w:rsidP="00204801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A56446">
        <w:rPr>
          <w:rFonts w:cs="Arial"/>
          <w:color w:val="333333"/>
          <w:shd w:val="clear" w:color="auto" w:fill="FFFFFF"/>
        </w:rPr>
        <w:t>Processing is necessary in order to protect the vital inte</w:t>
      </w:r>
      <w:r w:rsidR="00737EBA" w:rsidRPr="00A56446">
        <w:rPr>
          <w:rFonts w:cs="Arial"/>
          <w:color w:val="333333"/>
          <w:shd w:val="clear" w:color="auto" w:fill="FFFFFF"/>
        </w:rPr>
        <w:t xml:space="preserve">rests of the data subject or </w:t>
      </w:r>
      <w:r w:rsidRPr="00A56446">
        <w:rPr>
          <w:rFonts w:cs="Arial"/>
          <w:color w:val="333333"/>
          <w:shd w:val="clear" w:color="auto" w:fill="FFFFFF"/>
        </w:rPr>
        <w:t>another natural person</w:t>
      </w:r>
    </w:p>
    <w:p w:rsidR="00DF505E" w:rsidRPr="00A56446" w:rsidRDefault="00DF505E" w:rsidP="00204801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A56446">
        <w:rPr>
          <w:rFonts w:cs="Arial"/>
          <w:color w:val="333333"/>
          <w:shd w:val="clear" w:color="auto" w:fill="FFFFFF"/>
        </w:rPr>
        <w:t>Processing is necessary for the performance of a task carried out in the public interest or in the exercise of official authority vested in the controller</w:t>
      </w:r>
    </w:p>
    <w:p w:rsidR="00DF505E" w:rsidRPr="00A56446" w:rsidRDefault="00DF505E" w:rsidP="00204801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A56446">
        <w:rPr>
          <w:rFonts w:cs="Arial"/>
          <w:color w:val="333333"/>
          <w:shd w:val="clear" w:color="auto" w:fill="FFFFFF"/>
        </w:rPr>
        <w:t xml:space="preserve">Processing is necessary for the purposes of the legitimate interests pursued by the controller or by a third party, except where such interests are overridden by the </w:t>
      </w:r>
      <w:r w:rsidRPr="00A56446">
        <w:rPr>
          <w:rFonts w:cs="Arial"/>
          <w:color w:val="333333"/>
          <w:shd w:val="clear" w:color="auto" w:fill="FFFFFF"/>
        </w:rPr>
        <w:lastRenderedPageBreak/>
        <w:t>interests or fundamental rights and freedoms of the data subject which require protection of personal data, in particular where the data subject is a child</w:t>
      </w:r>
    </w:p>
    <w:p w:rsidR="00E54816" w:rsidRPr="00A56446" w:rsidRDefault="00E54816" w:rsidP="00E54816">
      <w:pPr>
        <w:rPr>
          <w:rFonts w:asciiTheme="minorHAnsi" w:hAnsiTheme="minorHAnsi"/>
        </w:rPr>
      </w:pPr>
    </w:p>
    <w:p w:rsidR="00E54816" w:rsidRPr="00A56446" w:rsidRDefault="00E54816" w:rsidP="00E54816">
      <w:pPr>
        <w:rPr>
          <w:rFonts w:asciiTheme="minorHAnsi" w:hAnsiTheme="minorHAnsi" w:cs="Arial"/>
          <w:sz w:val="22"/>
          <w:szCs w:val="22"/>
        </w:rPr>
      </w:pPr>
      <w:r w:rsidRPr="00A56446">
        <w:rPr>
          <w:rFonts w:asciiTheme="minorHAnsi" w:hAnsiTheme="minorHAnsi" w:cs="Arial"/>
          <w:sz w:val="22"/>
          <w:szCs w:val="22"/>
        </w:rPr>
        <w:t xml:space="preserve">At </w:t>
      </w:r>
      <w:r w:rsidR="006630C5">
        <w:rPr>
          <w:rFonts w:asciiTheme="minorHAnsi" w:hAnsiTheme="minorHAnsi" w:cs="Arial"/>
          <w:sz w:val="22"/>
          <w:szCs w:val="22"/>
        </w:rPr>
        <w:t>Dr Johnston &amp; Partners</w:t>
      </w:r>
      <w:r w:rsidRPr="00A56446">
        <w:rPr>
          <w:rFonts w:asciiTheme="minorHAnsi" w:hAnsiTheme="minorHAnsi" w:cs="Arial"/>
          <w:sz w:val="22"/>
          <w:szCs w:val="22"/>
        </w:rPr>
        <w:t xml:space="preserve">, all staff </w:t>
      </w:r>
      <w:r w:rsidR="007C2FBE" w:rsidRPr="00A56446">
        <w:rPr>
          <w:rFonts w:asciiTheme="minorHAnsi" w:hAnsiTheme="minorHAnsi" w:cs="Arial"/>
          <w:sz w:val="22"/>
          <w:szCs w:val="22"/>
        </w:rPr>
        <w:t>are cla</w:t>
      </w:r>
      <w:r w:rsidR="00737EBA" w:rsidRPr="00A56446">
        <w:rPr>
          <w:rFonts w:asciiTheme="minorHAnsi" w:hAnsiTheme="minorHAnsi" w:cs="Arial"/>
          <w:sz w:val="22"/>
          <w:szCs w:val="22"/>
        </w:rPr>
        <w:t>ssed as data processors as their</w:t>
      </w:r>
      <w:r w:rsidR="007C2FBE" w:rsidRPr="00A56446">
        <w:rPr>
          <w:rFonts w:asciiTheme="minorHAnsi" w:hAnsiTheme="minorHAnsi" w:cs="Arial"/>
          <w:sz w:val="22"/>
          <w:szCs w:val="22"/>
        </w:rPr>
        <w:t xml:space="preserve"> individual roles will require them to access and process personal data.</w:t>
      </w:r>
    </w:p>
    <w:p w:rsidR="0019118A" w:rsidRPr="00A56446" w:rsidRDefault="007C2FBE" w:rsidP="0019118A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30" w:name="_Toc505696901"/>
      <w:r w:rsidRPr="00A56446">
        <w:rPr>
          <w:rFonts w:asciiTheme="minorHAnsi" w:hAnsiTheme="minorHAnsi"/>
          <w:sz w:val="28"/>
          <w:szCs w:val="28"/>
        </w:rPr>
        <w:t>Access</w:t>
      </w:r>
      <w:bookmarkEnd w:id="30"/>
    </w:p>
    <w:p w:rsidR="007C2FBE" w:rsidRPr="00A56446" w:rsidRDefault="007C2FBE" w:rsidP="007C2FBE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1" w:name="_Toc505696902"/>
      <w:r w:rsidRPr="00A56446">
        <w:rPr>
          <w:rFonts w:asciiTheme="minorHAnsi" w:hAnsiTheme="minorHAnsi" w:cs="Arial"/>
          <w:smallCaps w:val="0"/>
          <w:sz w:val="24"/>
          <w:szCs w:val="24"/>
        </w:rPr>
        <w:t>Data subject’s rights</w:t>
      </w:r>
      <w:bookmarkEnd w:id="31"/>
    </w:p>
    <w:p w:rsidR="007C2FBE" w:rsidRPr="00A56446" w:rsidRDefault="007C2FBE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:rsidR="007C2FBE" w:rsidRPr="00A56446" w:rsidRDefault="007C2FBE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All data subjects have a right to access their data and any supplementary information held by </w:t>
      </w:r>
      <w:r w:rsidR="006630C5">
        <w:rPr>
          <w:rFonts w:asciiTheme="minorHAnsi" w:hAnsiTheme="minorHAnsi" w:cs="Arial"/>
          <w:sz w:val="22"/>
          <w:szCs w:val="22"/>
          <w:lang w:val="en-US"/>
        </w:rPr>
        <w:t>Dr Johnston &amp; Partners</w:t>
      </w:r>
      <w:r w:rsidR="00737EBA" w:rsidRPr="00A56446">
        <w:rPr>
          <w:rFonts w:asciiTheme="minorHAnsi" w:hAnsiTheme="minorHAnsi" w:cs="Arial"/>
          <w:sz w:val="22"/>
          <w:szCs w:val="22"/>
          <w:lang w:val="en-US"/>
        </w:rPr>
        <w:t xml:space="preserve">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Data subjects have a right to receive:</w:t>
      </w:r>
    </w:p>
    <w:p w:rsidR="007C2FBE" w:rsidRPr="00A56446" w:rsidRDefault="007C2FBE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:rsidR="007C2FBE" w:rsidRPr="00A56446" w:rsidRDefault="007C2FBE" w:rsidP="00204801">
      <w:pPr>
        <w:pStyle w:val="ListParagraph"/>
        <w:numPr>
          <w:ilvl w:val="0"/>
          <w:numId w:val="5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Confirmation that their data is being processed</w:t>
      </w:r>
    </w:p>
    <w:p w:rsidR="007C2FBE" w:rsidRPr="00A56446" w:rsidRDefault="007C2FBE" w:rsidP="00204801">
      <w:pPr>
        <w:pStyle w:val="ListParagraph"/>
        <w:numPr>
          <w:ilvl w:val="0"/>
          <w:numId w:val="5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Access to their personal data</w:t>
      </w:r>
    </w:p>
    <w:p w:rsidR="007C2FBE" w:rsidRPr="00A56446" w:rsidRDefault="007C2FBE" w:rsidP="00204801">
      <w:pPr>
        <w:pStyle w:val="ListParagraph"/>
        <w:numPr>
          <w:ilvl w:val="0"/>
          <w:numId w:val="5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Access to any other supplementaryinformation held about them</w:t>
      </w:r>
    </w:p>
    <w:p w:rsidR="007C2FBE" w:rsidRPr="00A56446" w:rsidRDefault="007C2FBE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:rsidR="00E23FDB" w:rsidRPr="00A56446" w:rsidRDefault="006630C5" w:rsidP="00E23FDB">
      <w:pPr>
        <w:rPr>
          <w:rFonts w:asciiTheme="minorHAnsi" w:hAnsiTheme="minorHAnsi" w:cs="Arial"/>
          <w:sz w:val="22"/>
          <w:szCs w:val="22"/>
          <w:lang w:val="en-US"/>
        </w:rPr>
      </w:pPr>
      <w:r w:rsidRPr="006630C5">
        <w:rPr>
          <w:rFonts w:asciiTheme="minorHAnsi" w:hAnsiTheme="minorHAnsi" w:cs="Arial"/>
          <w:sz w:val="22"/>
          <w:szCs w:val="22"/>
          <w:lang w:val="en-US"/>
        </w:rPr>
        <w:t>Dr Johnston &amp; Partners</w:t>
      </w:r>
      <w:r w:rsidR="00E23FDB" w:rsidRPr="00A56446">
        <w:rPr>
          <w:rFonts w:asciiTheme="minorHAnsi" w:hAnsiTheme="minorHAnsi" w:cs="Arial"/>
          <w:sz w:val="22"/>
          <w:szCs w:val="22"/>
          <w:lang w:val="en-US"/>
        </w:rPr>
        <w:t xml:space="preserve"> ensures </w:t>
      </w:r>
      <w:r w:rsidR="00C91E5D" w:rsidRPr="00A56446">
        <w:rPr>
          <w:rFonts w:asciiTheme="minorHAnsi" w:hAnsiTheme="minorHAnsi" w:cs="Arial"/>
          <w:sz w:val="22"/>
          <w:szCs w:val="22"/>
          <w:lang w:val="en-US"/>
        </w:rPr>
        <w:t xml:space="preserve">that </w:t>
      </w:r>
      <w:r w:rsidR="00E23FDB" w:rsidRPr="00A56446">
        <w:rPr>
          <w:rFonts w:asciiTheme="minorHAnsi" w:hAnsiTheme="minorHAnsi" w:cs="Arial"/>
          <w:sz w:val="22"/>
          <w:szCs w:val="22"/>
          <w:lang w:val="en-US"/>
        </w:rPr>
        <w:t>all patients are aware of their right to access their data and has privacy notices displayed in the following locations:</w:t>
      </w:r>
    </w:p>
    <w:p w:rsidR="00E23FDB" w:rsidRPr="00A56446" w:rsidRDefault="00E23FDB" w:rsidP="00E23FDB">
      <w:pPr>
        <w:rPr>
          <w:rFonts w:asciiTheme="minorHAnsi" w:hAnsiTheme="minorHAnsi" w:cs="Arial"/>
          <w:sz w:val="22"/>
          <w:szCs w:val="22"/>
          <w:lang w:val="en-US"/>
        </w:rPr>
      </w:pPr>
    </w:p>
    <w:p w:rsidR="00E23FDB" w:rsidRPr="00A56446" w:rsidRDefault="00E23FDB" w:rsidP="00E23FDB">
      <w:pPr>
        <w:pStyle w:val="ListParagraph"/>
        <w:numPr>
          <w:ilvl w:val="0"/>
          <w:numId w:val="20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Waiting room</w:t>
      </w:r>
    </w:p>
    <w:p w:rsidR="00E23FDB" w:rsidRPr="00A56446" w:rsidRDefault="00E23FDB" w:rsidP="00E23FDB">
      <w:pPr>
        <w:pStyle w:val="ListParagraph"/>
        <w:numPr>
          <w:ilvl w:val="0"/>
          <w:numId w:val="20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Practice website</w:t>
      </w:r>
    </w:p>
    <w:p w:rsidR="00E23FDB" w:rsidRPr="00A56446" w:rsidRDefault="00E23FDB" w:rsidP="00E23FDB">
      <w:pPr>
        <w:pStyle w:val="ListParagraph"/>
        <w:numPr>
          <w:ilvl w:val="0"/>
          <w:numId w:val="20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Practice information leaflet</w:t>
      </w:r>
    </w:p>
    <w:p w:rsidR="00E23FDB" w:rsidRPr="00A56446" w:rsidRDefault="00E23FDB" w:rsidP="00E23FDB">
      <w:pPr>
        <w:rPr>
          <w:rFonts w:asciiTheme="minorHAnsi" w:hAnsiTheme="minorHAnsi" w:cs="Arial"/>
          <w:lang w:val="en-US"/>
        </w:rPr>
      </w:pPr>
    </w:p>
    <w:p w:rsidR="00E23FDB" w:rsidRPr="00A56446" w:rsidRDefault="00E23FDB" w:rsidP="00E23FDB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To comply with the GDPR</w:t>
      </w:r>
      <w:r w:rsidR="00C91E5D" w:rsidRPr="00A56446">
        <w:rPr>
          <w:rFonts w:asciiTheme="minorHAnsi" w:hAnsiTheme="minorHAnsi" w:cs="Arial"/>
          <w:sz w:val="22"/>
          <w:szCs w:val="22"/>
          <w:lang w:val="en-US"/>
        </w:rPr>
        <w:t>,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all practice privacy notices are written in a language that is understandable to all patients and meet the criteria detailed in Articles 12, 13 and 14 of the GDPR.  </w:t>
      </w:r>
    </w:p>
    <w:p w:rsidR="00E23FDB" w:rsidRPr="00A56446" w:rsidRDefault="00E23FDB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:rsidR="00CE4FF9" w:rsidRPr="00A56446" w:rsidRDefault="007C2FBE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The </w:t>
      </w:r>
      <w:r w:rsidR="00C91E5D" w:rsidRPr="00A56446">
        <w:rPr>
          <w:rFonts w:asciiTheme="minorHAnsi" w:hAnsiTheme="minorHAnsi" w:cs="Arial"/>
          <w:sz w:val="22"/>
          <w:szCs w:val="22"/>
          <w:lang w:val="en-US"/>
        </w:rPr>
        <w:t>reason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for granting </w:t>
      </w:r>
      <w:r w:rsidR="00737EBA" w:rsidRPr="00A56446">
        <w:rPr>
          <w:rFonts w:asciiTheme="minorHAnsi" w:hAnsiTheme="minorHAnsi" w:cs="Arial"/>
          <w:sz w:val="22"/>
          <w:szCs w:val="22"/>
          <w:lang w:val="en-US"/>
        </w:rPr>
        <w:t xml:space="preserve">access to data subjects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is to enable them to verify the lawfulness of the processing of data held about them.</w:t>
      </w:r>
    </w:p>
    <w:p w:rsidR="007C2FBE" w:rsidRPr="00A56446" w:rsidRDefault="007C2FBE" w:rsidP="007C2FBE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2" w:name="_Toc505696903"/>
      <w:r w:rsidRPr="00A56446">
        <w:rPr>
          <w:rFonts w:asciiTheme="minorHAnsi" w:hAnsiTheme="minorHAnsi" w:cs="Arial"/>
          <w:smallCaps w:val="0"/>
          <w:sz w:val="24"/>
          <w:szCs w:val="24"/>
        </w:rPr>
        <w:t>Fees</w:t>
      </w:r>
      <w:bookmarkEnd w:id="32"/>
    </w:p>
    <w:p w:rsidR="007C2FBE" w:rsidRPr="00A56446" w:rsidRDefault="007C2FBE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:rsidR="007C2FBE" w:rsidRPr="00A56446" w:rsidRDefault="007C2FBE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Under the GDPR, </w:t>
      </w:r>
      <w:r w:rsidR="006630C5">
        <w:rPr>
          <w:rFonts w:asciiTheme="minorHAnsi" w:hAnsiTheme="minorHAnsi" w:cs="Arial"/>
          <w:sz w:val="22"/>
          <w:szCs w:val="22"/>
          <w:lang w:val="en-US"/>
        </w:rPr>
        <w:t>Dr Johnston &amp; Partners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is not permitted to charge data subjects for providing a copy of the requested inform</w:t>
      </w:r>
      <w:r w:rsidR="00EB64C5" w:rsidRPr="00A56446">
        <w:rPr>
          <w:rFonts w:asciiTheme="minorHAnsi" w:hAnsiTheme="minorHAnsi" w:cs="Arial"/>
          <w:sz w:val="22"/>
          <w:szCs w:val="22"/>
          <w:lang w:val="en-US"/>
        </w:rPr>
        <w:t>ation;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this must be done free of charge.</w:t>
      </w:r>
      <w:r w:rsidR="00BF70BB" w:rsidRPr="00A56446">
        <w:rPr>
          <w:rFonts w:asciiTheme="minorHAnsi" w:hAnsiTheme="minorHAnsi" w:cs="Arial"/>
          <w:sz w:val="22"/>
          <w:szCs w:val="22"/>
          <w:lang w:val="en-US"/>
        </w:rPr>
        <w:t xml:space="preserve">  That said, sho</w:t>
      </w:r>
      <w:r w:rsidR="00EB64C5" w:rsidRPr="00A56446">
        <w:rPr>
          <w:rFonts w:asciiTheme="minorHAnsi" w:hAnsiTheme="minorHAnsi" w:cs="Arial"/>
          <w:sz w:val="22"/>
          <w:szCs w:val="22"/>
          <w:lang w:val="en-US"/>
        </w:rPr>
        <w:t>uld a request be deemed either “</w:t>
      </w:r>
      <w:r w:rsidR="00BF70BB" w:rsidRPr="00A56446">
        <w:rPr>
          <w:rFonts w:asciiTheme="minorHAnsi" w:hAnsiTheme="minorHAnsi" w:cs="Arial"/>
          <w:sz w:val="22"/>
          <w:szCs w:val="22"/>
          <w:lang w:val="en-US"/>
        </w:rPr>
        <w:t>unf</w:t>
      </w:r>
      <w:r w:rsidR="00EB64C5" w:rsidRPr="00A56446">
        <w:rPr>
          <w:rFonts w:asciiTheme="minorHAnsi" w:hAnsiTheme="minorHAnsi" w:cs="Arial"/>
          <w:sz w:val="22"/>
          <w:szCs w:val="22"/>
          <w:lang w:val="en-US"/>
        </w:rPr>
        <w:t>ounded, excessive or repetitive”</w:t>
      </w:r>
      <w:r w:rsidR="00BF70BB" w:rsidRPr="00A56446">
        <w:rPr>
          <w:rFonts w:asciiTheme="minorHAnsi" w:hAnsiTheme="minorHAnsi" w:cs="Arial"/>
          <w:sz w:val="22"/>
          <w:szCs w:val="22"/>
          <w:lang w:val="en-US"/>
        </w:rPr>
        <w:t xml:space="preserve">, a </w:t>
      </w:r>
      <w:r w:rsidR="00EB64C5" w:rsidRPr="00A56446">
        <w:rPr>
          <w:rFonts w:asciiTheme="minorHAnsi" w:hAnsiTheme="minorHAnsi" w:cs="Arial"/>
          <w:sz w:val="22"/>
          <w:szCs w:val="22"/>
          <w:lang w:val="en-US"/>
        </w:rPr>
        <w:t xml:space="preserve">reasonable fee may be charged. </w:t>
      </w:r>
      <w:r w:rsidR="00BF70BB" w:rsidRPr="00A56446">
        <w:rPr>
          <w:rFonts w:asciiTheme="minorHAnsi" w:hAnsiTheme="minorHAnsi" w:cs="Arial"/>
          <w:sz w:val="22"/>
          <w:szCs w:val="22"/>
          <w:lang w:val="en-US"/>
        </w:rPr>
        <w:t>Furthermore, a reasonable fee may be charged when requests for additional copies of the same info</w:t>
      </w:r>
      <w:r w:rsidR="00EB64C5" w:rsidRPr="00A56446">
        <w:rPr>
          <w:rFonts w:asciiTheme="minorHAnsi" w:hAnsiTheme="minorHAnsi" w:cs="Arial"/>
          <w:sz w:val="22"/>
          <w:szCs w:val="22"/>
          <w:lang w:val="en-US"/>
        </w:rPr>
        <w:t xml:space="preserve">rmation are made. </w:t>
      </w:r>
      <w:r w:rsidR="00BF70BB" w:rsidRPr="00A56446">
        <w:rPr>
          <w:rFonts w:asciiTheme="minorHAnsi" w:hAnsiTheme="minorHAnsi" w:cs="Arial"/>
          <w:sz w:val="22"/>
          <w:szCs w:val="22"/>
          <w:lang w:val="en-US"/>
        </w:rPr>
        <w:t>However, this does not permit the practice to charge for all subsequent access requests.</w:t>
      </w:r>
    </w:p>
    <w:p w:rsidR="00BF70BB" w:rsidRPr="00A56446" w:rsidRDefault="00BF70BB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:rsidR="00BF70BB" w:rsidRPr="00A56446" w:rsidRDefault="00BF70BB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The fee is to be based on the administrative costs associated with providing the requested information.  </w:t>
      </w:r>
    </w:p>
    <w:p w:rsidR="00BF70BB" w:rsidRPr="00A56446" w:rsidRDefault="00BF70BB" w:rsidP="00BF70BB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3" w:name="_Toc505696904"/>
      <w:r w:rsidRPr="00A56446">
        <w:rPr>
          <w:rFonts w:asciiTheme="minorHAnsi" w:hAnsiTheme="minorHAnsi" w:cs="Arial"/>
          <w:smallCaps w:val="0"/>
          <w:sz w:val="24"/>
          <w:szCs w:val="24"/>
        </w:rPr>
        <w:t>Responding to a data subject access request</w:t>
      </w:r>
      <w:bookmarkEnd w:id="33"/>
    </w:p>
    <w:p w:rsidR="00BF70BB" w:rsidRPr="00A56446" w:rsidRDefault="00BF70BB" w:rsidP="00BF70BB">
      <w:pPr>
        <w:rPr>
          <w:rFonts w:asciiTheme="minorHAnsi" w:hAnsiTheme="minorHAnsi"/>
          <w:lang w:val="en-US" w:eastAsia="en-US"/>
        </w:rPr>
      </w:pPr>
    </w:p>
    <w:p w:rsidR="00BF70BB" w:rsidRPr="00A56446" w:rsidRDefault="00BF70BB" w:rsidP="00BF70BB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In accordance with the GDPR, data controllers must respond to all data subject access requests within one month of receiving the request (previous </w:t>
      </w:r>
      <w:r w:rsidR="002D53CC" w:rsidRPr="00A56446">
        <w:rPr>
          <w:rFonts w:asciiTheme="minorHAnsi" w:hAnsiTheme="minorHAnsi" w:cs="Arial"/>
          <w:sz w:val="22"/>
          <w:szCs w:val="22"/>
          <w:lang w:val="en-US" w:eastAsia="en-US"/>
        </w:rPr>
        <w:t>subject access request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s ha</w:t>
      </w:r>
      <w:r w:rsidR="002D53CC" w:rsidRPr="00A56446">
        <w:rPr>
          <w:rFonts w:asciiTheme="minorHAnsi" w:hAnsiTheme="minorHAnsi" w:cs="Arial"/>
          <w:sz w:val="22"/>
          <w:szCs w:val="22"/>
          <w:lang w:val="en-US" w:eastAsia="en-US"/>
        </w:rPr>
        <w:t>d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a response time of 40 days).  </w:t>
      </w:r>
    </w:p>
    <w:p w:rsidR="00BF70BB" w:rsidRPr="00A56446" w:rsidRDefault="00BF70BB" w:rsidP="00BF70BB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BF70BB" w:rsidRPr="00A56446" w:rsidRDefault="00EB64C5" w:rsidP="00BF70BB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I</w:t>
      </w:r>
      <w:r w:rsidR="00BF70BB" w:rsidRPr="00A56446">
        <w:rPr>
          <w:rFonts w:asciiTheme="minorHAnsi" w:hAnsiTheme="minorHAnsi" w:cs="Arial"/>
          <w:sz w:val="22"/>
          <w:szCs w:val="22"/>
          <w:lang w:val="en-US" w:eastAsia="en-US"/>
        </w:rPr>
        <w:t>n the case of complex or multiple requests, the data controller may extend the response time by a period of two months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. </w:t>
      </w:r>
      <w:r w:rsidR="00105D87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In such instances, the data subject must be informed and the reasons for the delay explained.  </w:t>
      </w:r>
    </w:p>
    <w:p w:rsidR="00A636D9" w:rsidRPr="00A56446" w:rsidRDefault="00A636D9" w:rsidP="00A636D9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4" w:name="_Toc505696905"/>
      <w:r w:rsidRPr="00A56446">
        <w:rPr>
          <w:rFonts w:asciiTheme="minorHAnsi" w:hAnsiTheme="minorHAnsi" w:cs="Arial"/>
          <w:smallCaps w:val="0"/>
          <w:sz w:val="24"/>
          <w:szCs w:val="24"/>
        </w:rPr>
        <w:t>Verifying the subject access request</w:t>
      </w:r>
      <w:bookmarkEnd w:id="34"/>
    </w:p>
    <w:p w:rsidR="00B337C9" w:rsidRPr="00A56446" w:rsidRDefault="00B337C9" w:rsidP="00E2519D">
      <w:pPr>
        <w:rPr>
          <w:rFonts w:asciiTheme="minorHAnsi" w:hAnsiTheme="minorHAnsi" w:cs="Arial"/>
          <w:lang w:val="en-US"/>
        </w:rPr>
      </w:pPr>
    </w:p>
    <w:p w:rsidR="00B337C9" w:rsidRPr="00A56446" w:rsidRDefault="002D53CC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It is the responsibility of the data controller to verify all requests from data subje</w:t>
      </w:r>
      <w:r w:rsidR="00392BD7" w:rsidRPr="00A56446">
        <w:rPr>
          <w:rFonts w:asciiTheme="minorHAnsi" w:hAnsiTheme="minorHAnsi" w:cs="Arial"/>
          <w:sz w:val="22"/>
          <w:szCs w:val="22"/>
          <w:lang w:val="en-US"/>
        </w:rPr>
        <w:t xml:space="preserve">cts using reasonable measures.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The use of the practice Subject Access Request (SAR) form supports the data contro</w:t>
      </w:r>
      <w:r w:rsidR="00392BD7" w:rsidRPr="00A56446">
        <w:rPr>
          <w:rFonts w:asciiTheme="minorHAnsi" w:hAnsiTheme="minorHAnsi" w:cs="Arial"/>
          <w:sz w:val="22"/>
          <w:szCs w:val="22"/>
          <w:lang w:val="en-US"/>
        </w:rPr>
        <w:t xml:space="preserve">ller in verifying the request.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In addition, the data controller is permitted to ask for evidence to identify the data subject, usually by </w:t>
      </w:r>
      <w:r w:rsidR="0019060B" w:rsidRPr="00A56446">
        <w:rPr>
          <w:rFonts w:asciiTheme="minorHAnsi" w:hAnsiTheme="minorHAnsi" w:cs="Arial"/>
          <w:sz w:val="22"/>
          <w:szCs w:val="22"/>
          <w:lang w:val="en-US"/>
        </w:rPr>
        <w:t>using photographic identification</w:t>
      </w:r>
      <w:r w:rsidR="00392BD7" w:rsidRPr="00A56446">
        <w:rPr>
          <w:rFonts w:asciiTheme="minorHAnsi" w:hAnsiTheme="minorHAnsi" w:cs="Arial"/>
          <w:sz w:val="22"/>
          <w:szCs w:val="22"/>
          <w:lang w:val="en-US"/>
        </w:rPr>
        <w:t>, i.e. driving licenc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e or passport.</w:t>
      </w:r>
    </w:p>
    <w:p w:rsidR="002D53CC" w:rsidRPr="00A56446" w:rsidRDefault="00392BD7" w:rsidP="002D53CC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5" w:name="_Toc505696906"/>
      <w:r w:rsidRPr="00A56446">
        <w:rPr>
          <w:rFonts w:asciiTheme="minorHAnsi" w:hAnsiTheme="minorHAnsi" w:cs="Arial"/>
          <w:smallCaps w:val="0"/>
          <w:sz w:val="24"/>
          <w:szCs w:val="24"/>
        </w:rPr>
        <w:t>E-r</w:t>
      </w:r>
      <w:r w:rsidR="002D53CC" w:rsidRPr="00A56446">
        <w:rPr>
          <w:rFonts w:asciiTheme="minorHAnsi" w:hAnsiTheme="minorHAnsi" w:cs="Arial"/>
          <w:smallCaps w:val="0"/>
          <w:sz w:val="24"/>
          <w:szCs w:val="24"/>
        </w:rPr>
        <w:t>equests</w:t>
      </w:r>
      <w:bookmarkEnd w:id="35"/>
    </w:p>
    <w:p w:rsidR="002D53CC" w:rsidRPr="00A56446" w:rsidRDefault="002D53CC" w:rsidP="00E2519D">
      <w:pPr>
        <w:rPr>
          <w:rFonts w:asciiTheme="minorHAnsi" w:hAnsiTheme="minorHAnsi" w:cs="Arial"/>
          <w:lang w:val="en-US"/>
        </w:rPr>
      </w:pPr>
    </w:p>
    <w:p w:rsidR="00B337C9" w:rsidRPr="00A56446" w:rsidRDefault="002D53CC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GDPR states that data subjects should be able to make access requests via e</w:t>
      </w:r>
      <w:r w:rsidR="00392BD7" w:rsidRPr="00A56446">
        <w:rPr>
          <w:rFonts w:asciiTheme="minorHAnsi" w:hAnsiTheme="minorHAnsi" w:cs="Arial"/>
          <w:sz w:val="22"/>
          <w:szCs w:val="22"/>
          <w:lang w:val="en-US"/>
        </w:rPr>
        <w:t xml:space="preserve">mail. </w:t>
      </w:r>
      <w:r w:rsidR="006630C5">
        <w:rPr>
          <w:rFonts w:asciiTheme="minorHAnsi" w:hAnsiTheme="minorHAnsi" w:cs="Arial"/>
          <w:sz w:val="22"/>
          <w:szCs w:val="22"/>
          <w:lang w:val="en-US"/>
        </w:rPr>
        <w:t>Dr Johnston &amp; Partners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is compliant with this and data subjects can complete an e-access form and submit the form via email.</w:t>
      </w:r>
    </w:p>
    <w:p w:rsidR="002D53CC" w:rsidRPr="00A56446" w:rsidRDefault="002D53CC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:rsidR="002D53CC" w:rsidRPr="00A56446" w:rsidRDefault="002D53CC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data controller is to ensure</w:t>
      </w:r>
      <w:r w:rsidR="00392BD7" w:rsidRPr="00A56446">
        <w:rPr>
          <w:rFonts w:asciiTheme="minorHAnsi" w:hAnsiTheme="minorHAnsi" w:cs="Arial"/>
          <w:sz w:val="22"/>
          <w:szCs w:val="22"/>
          <w:lang w:val="en-US"/>
        </w:rPr>
        <w:t xml:space="preserve"> that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ID verification is requested and this should be stated in the response to the data subject upon </w:t>
      </w:r>
      <w:r w:rsidR="00392BD7" w:rsidRPr="00A56446">
        <w:rPr>
          <w:rFonts w:asciiTheme="minorHAnsi" w:hAnsiTheme="minorHAnsi" w:cs="Arial"/>
          <w:sz w:val="22"/>
          <w:szCs w:val="22"/>
          <w:lang w:val="en-US"/>
        </w:rPr>
        <w:t xml:space="preserve">receipt of the access request.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It is the responsibility of the data controller to ensure they are satisfied that the person requesting the information is the data subject to whom the data applies.</w:t>
      </w:r>
    </w:p>
    <w:p w:rsidR="0019060B" w:rsidRPr="00A56446" w:rsidRDefault="00392BD7" w:rsidP="0019060B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6" w:name="_Toc505696907"/>
      <w:r w:rsidRPr="00A56446">
        <w:rPr>
          <w:rFonts w:asciiTheme="minorHAnsi" w:hAnsiTheme="minorHAnsi" w:cs="Arial"/>
          <w:smallCaps w:val="0"/>
          <w:sz w:val="24"/>
          <w:szCs w:val="24"/>
        </w:rPr>
        <w:t>Third-</w:t>
      </w:r>
      <w:r w:rsidR="0019060B" w:rsidRPr="00A56446">
        <w:rPr>
          <w:rFonts w:asciiTheme="minorHAnsi" w:hAnsiTheme="minorHAnsi" w:cs="Arial"/>
          <w:smallCaps w:val="0"/>
          <w:sz w:val="24"/>
          <w:szCs w:val="24"/>
        </w:rPr>
        <w:t>party requests</w:t>
      </w:r>
      <w:bookmarkEnd w:id="36"/>
    </w:p>
    <w:p w:rsidR="0019060B" w:rsidRPr="00A56446" w:rsidRDefault="0019060B" w:rsidP="0019060B">
      <w:pPr>
        <w:rPr>
          <w:rFonts w:asciiTheme="minorHAnsi" w:hAnsiTheme="minorHAnsi"/>
          <w:lang w:val="en-US" w:eastAsia="en-US"/>
        </w:rPr>
      </w:pPr>
    </w:p>
    <w:p w:rsidR="0019060B" w:rsidRPr="00A56446" w:rsidRDefault="00392BD7" w:rsidP="0019060B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Third-</w:t>
      </w:r>
      <w:r w:rsidR="0019060B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party requests will continue to be received following the introduction of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the GDPR. </w:t>
      </w:r>
      <w:r w:rsidR="0019060B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The data controller must be able to satisfy themselves that the person requesting the data has the authority of the data subject.  </w:t>
      </w:r>
    </w:p>
    <w:p w:rsidR="0019060B" w:rsidRPr="00A56446" w:rsidRDefault="0019060B" w:rsidP="0019060B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19060B" w:rsidRPr="00A56446" w:rsidRDefault="0019060B" w:rsidP="0019060B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The responsibility for providing the required authority rests with the third party and is usually in the form of a written statement or consent form, signed by the data subject.  </w:t>
      </w:r>
    </w:p>
    <w:p w:rsidR="00392BD7" w:rsidRPr="00A56446" w:rsidRDefault="00392BD7" w:rsidP="0019060B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3C4936" w:rsidRPr="00A56446" w:rsidRDefault="003C4936" w:rsidP="003C4936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37" w:name="_Toc505696908"/>
      <w:r w:rsidRPr="00A56446">
        <w:rPr>
          <w:rFonts w:asciiTheme="minorHAnsi" w:hAnsiTheme="minorHAnsi"/>
          <w:sz w:val="28"/>
          <w:szCs w:val="28"/>
        </w:rPr>
        <w:t>Data breaches</w:t>
      </w:r>
      <w:bookmarkEnd w:id="37"/>
    </w:p>
    <w:p w:rsidR="003C4936" w:rsidRPr="00A56446" w:rsidRDefault="003C4936" w:rsidP="003C4936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8" w:name="_Toc505696909"/>
      <w:r w:rsidRPr="00A56446">
        <w:rPr>
          <w:rFonts w:asciiTheme="minorHAnsi" w:hAnsiTheme="minorHAnsi" w:cs="Arial"/>
          <w:smallCaps w:val="0"/>
          <w:sz w:val="24"/>
          <w:szCs w:val="24"/>
        </w:rPr>
        <w:t>Data breach definition</w:t>
      </w:r>
      <w:bookmarkEnd w:id="38"/>
    </w:p>
    <w:p w:rsidR="003C4936" w:rsidRPr="00A56446" w:rsidRDefault="003C4936" w:rsidP="003C4936">
      <w:pPr>
        <w:rPr>
          <w:rFonts w:asciiTheme="minorHAnsi" w:hAnsiTheme="minorHAnsi"/>
          <w:lang w:val="en-US" w:eastAsia="en-US"/>
        </w:rPr>
      </w:pPr>
    </w:p>
    <w:p w:rsidR="003C4936" w:rsidRPr="00A56446" w:rsidRDefault="003C4936" w:rsidP="003C4936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A data breach is defined as any incident that has affected the confidentiality, integrity or availability of personal data.</w:t>
      </w:r>
      <w:r w:rsidRPr="00A56446">
        <w:rPr>
          <w:rStyle w:val="FootnoteReference"/>
          <w:rFonts w:asciiTheme="minorHAnsi" w:hAnsiTheme="minorHAnsi" w:cs="Arial"/>
          <w:sz w:val="22"/>
          <w:szCs w:val="22"/>
          <w:lang w:val="en-US" w:eastAsia="en-US"/>
        </w:rPr>
        <w:footnoteReference w:id="7"/>
      </w:r>
      <w:r w:rsidR="006C3CFB" w:rsidRPr="00A56446">
        <w:rPr>
          <w:rFonts w:asciiTheme="minorHAnsi" w:hAnsiTheme="minorHAnsi" w:cs="Arial"/>
          <w:sz w:val="22"/>
          <w:szCs w:val="22"/>
          <w:lang w:val="en-US" w:eastAsia="en-US"/>
        </w:rPr>
        <w:t>Examples of data breaches include:</w:t>
      </w:r>
    </w:p>
    <w:p w:rsidR="006C3CFB" w:rsidRPr="00A56446" w:rsidRDefault="006C3CFB" w:rsidP="003C4936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6C3CFB" w:rsidRPr="00A56446" w:rsidRDefault="00392BD7" w:rsidP="00204801">
      <w:pPr>
        <w:pStyle w:val="ListParagraph"/>
        <w:numPr>
          <w:ilvl w:val="0"/>
          <w:numId w:val="6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Unauthorised third-</w:t>
      </w:r>
      <w:r w:rsidR="006C3CFB" w:rsidRPr="00A56446">
        <w:rPr>
          <w:rFonts w:cs="Arial"/>
          <w:lang w:val="en-US"/>
        </w:rPr>
        <w:t>party access to data</w:t>
      </w:r>
    </w:p>
    <w:p w:rsidR="006C3CFB" w:rsidRPr="00A56446" w:rsidRDefault="006C3CFB" w:rsidP="00204801">
      <w:pPr>
        <w:pStyle w:val="ListParagraph"/>
        <w:numPr>
          <w:ilvl w:val="0"/>
          <w:numId w:val="6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Loss of personal data</w:t>
      </w:r>
    </w:p>
    <w:p w:rsidR="006C3CFB" w:rsidRPr="00A56446" w:rsidRDefault="006C3CFB" w:rsidP="00204801">
      <w:pPr>
        <w:pStyle w:val="ListParagraph"/>
        <w:numPr>
          <w:ilvl w:val="0"/>
          <w:numId w:val="6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Amending personal data without data subject authorisation</w:t>
      </w:r>
    </w:p>
    <w:p w:rsidR="006C3CFB" w:rsidRPr="00A56446" w:rsidRDefault="00241E23" w:rsidP="00204801">
      <w:pPr>
        <w:pStyle w:val="ListParagraph"/>
        <w:numPr>
          <w:ilvl w:val="0"/>
          <w:numId w:val="6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The loss or theft of IT equipment which contains personal data</w:t>
      </w:r>
    </w:p>
    <w:p w:rsidR="00241E23" w:rsidRPr="00A56446" w:rsidRDefault="00241E23" w:rsidP="00204801">
      <w:pPr>
        <w:pStyle w:val="ListParagraph"/>
        <w:numPr>
          <w:ilvl w:val="0"/>
          <w:numId w:val="6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Personal data being sent to the incorrect recipient</w:t>
      </w:r>
    </w:p>
    <w:p w:rsidR="00241E23" w:rsidRPr="00A56446" w:rsidRDefault="00241E23" w:rsidP="00241E23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9" w:name="_Toc505696910"/>
      <w:r w:rsidRPr="00A56446">
        <w:rPr>
          <w:rFonts w:asciiTheme="minorHAnsi" w:hAnsiTheme="minorHAnsi" w:cs="Arial"/>
          <w:smallCaps w:val="0"/>
          <w:sz w:val="24"/>
          <w:szCs w:val="24"/>
        </w:rPr>
        <w:lastRenderedPageBreak/>
        <w:t>Reporting a data breach</w:t>
      </w:r>
      <w:bookmarkEnd w:id="39"/>
    </w:p>
    <w:p w:rsidR="00241E23" w:rsidRPr="00A56446" w:rsidRDefault="00241E23" w:rsidP="00241E23">
      <w:pPr>
        <w:rPr>
          <w:rFonts w:asciiTheme="minorHAnsi" w:hAnsiTheme="minorHAnsi"/>
          <w:lang w:val="en-US" w:eastAsia="en-US"/>
        </w:rPr>
      </w:pPr>
    </w:p>
    <w:p w:rsidR="00967C39" w:rsidRPr="00A56446" w:rsidRDefault="003562F3" w:rsidP="00967C39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Any breach that</w:t>
      </w:r>
      <w:r w:rsidR="00241E23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is likely to have an adverse effect on an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individual’s rights or freedoms</w:t>
      </w:r>
      <w:r w:rsidR="00241E23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must be reported. </w:t>
      </w:r>
      <w:r w:rsidR="00967C39" w:rsidRPr="00A56446">
        <w:rPr>
          <w:rFonts w:asciiTheme="minorHAnsi" w:hAnsiTheme="minorHAnsi" w:cs="Arial"/>
          <w:sz w:val="22"/>
          <w:szCs w:val="22"/>
          <w:lang w:val="en-US"/>
        </w:rPr>
        <w:t>In order to determine the requirement to inform the ICO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,</w:t>
      </w:r>
      <w:r w:rsidR="00967C39" w:rsidRPr="00A56446">
        <w:rPr>
          <w:rFonts w:asciiTheme="minorHAnsi" w:hAnsiTheme="minorHAnsi" w:cs="Arial"/>
          <w:sz w:val="22"/>
          <w:szCs w:val="22"/>
          <w:lang w:val="en-US"/>
        </w:rPr>
        <w:t xml:space="preserve"> to notify them of a breach, the data controller is to read this supporting </w:t>
      </w:r>
      <w:hyperlink r:id="rId10" w:history="1">
        <w:r w:rsidR="00967C39" w:rsidRPr="00A56446">
          <w:rPr>
            <w:rStyle w:val="Hyperlink"/>
            <w:rFonts w:asciiTheme="minorHAnsi" w:hAnsiTheme="minorHAnsi" w:cs="Arial"/>
            <w:sz w:val="22"/>
            <w:szCs w:val="22"/>
            <w:lang w:val="en-US"/>
          </w:rPr>
          <w:t>guidance</w:t>
        </w:r>
      </w:hyperlink>
      <w:r w:rsidR="00967C39" w:rsidRPr="00A56446">
        <w:rPr>
          <w:rFonts w:asciiTheme="minorHAnsi" w:hAnsiTheme="minorHAnsi" w:cs="Arial"/>
          <w:sz w:val="22"/>
          <w:szCs w:val="22"/>
          <w:lang w:val="en-US"/>
        </w:rPr>
        <w:t>.</w:t>
      </w:r>
    </w:p>
    <w:p w:rsidR="00241E23" w:rsidRPr="00A56446" w:rsidRDefault="00241E23" w:rsidP="00241E23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Breaches must be reported without undue delay or within 72 hours of the breach being identified.  </w:t>
      </w:r>
    </w:p>
    <w:p w:rsidR="00241E23" w:rsidRPr="00A56446" w:rsidRDefault="00241E23" w:rsidP="00241E23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241E23" w:rsidRPr="00A56446" w:rsidRDefault="00241E23" w:rsidP="00241E23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When a breach is identified and it is necessary to report the breach, the report is to contain the following information:</w:t>
      </w:r>
    </w:p>
    <w:p w:rsidR="00241E23" w:rsidRPr="00A56446" w:rsidRDefault="00241E23" w:rsidP="00241E23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241E23" w:rsidRPr="00A56446" w:rsidRDefault="00241E23" w:rsidP="00204801">
      <w:pPr>
        <w:pStyle w:val="ListParagraph"/>
        <w:numPr>
          <w:ilvl w:val="0"/>
          <w:numId w:val="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Organisation details</w:t>
      </w:r>
    </w:p>
    <w:p w:rsidR="00241E23" w:rsidRPr="00A56446" w:rsidRDefault="00241E23" w:rsidP="00204801">
      <w:pPr>
        <w:pStyle w:val="ListParagraph"/>
        <w:numPr>
          <w:ilvl w:val="0"/>
          <w:numId w:val="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Details of the data protection breach</w:t>
      </w:r>
    </w:p>
    <w:p w:rsidR="00241E23" w:rsidRPr="00A56446" w:rsidRDefault="003562F3" w:rsidP="00204801">
      <w:pPr>
        <w:pStyle w:val="ListParagraph"/>
        <w:numPr>
          <w:ilvl w:val="0"/>
          <w:numId w:val="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 xml:space="preserve">What </w:t>
      </w:r>
      <w:r w:rsidR="00241E23" w:rsidRPr="00A56446">
        <w:rPr>
          <w:rFonts w:cs="Arial"/>
          <w:lang w:val="en-US"/>
        </w:rPr>
        <w:t>personal data has been placed at risk</w:t>
      </w:r>
    </w:p>
    <w:p w:rsidR="00241E23" w:rsidRPr="00A56446" w:rsidRDefault="00241E23" w:rsidP="00204801">
      <w:pPr>
        <w:pStyle w:val="ListParagraph"/>
        <w:numPr>
          <w:ilvl w:val="0"/>
          <w:numId w:val="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Actions taken to contain the breach and recover the data</w:t>
      </w:r>
    </w:p>
    <w:p w:rsidR="00241E23" w:rsidRPr="00A56446" w:rsidRDefault="00241E23" w:rsidP="00204801">
      <w:pPr>
        <w:pStyle w:val="ListParagraph"/>
        <w:numPr>
          <w:ilvl w:val="0"/>
          <w:numId w:val="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What training and guidance has been provided</w:t>
      </w:r>
    </w:p>
    <w:p w:rsidR="00241E23" w:rsidRPr="00A56446" w:rsidRDefault="00241E23" w:rsidP="00204801">
      <w:pPr>
        <w:pStyle w:val="ListParagraph"/>
        <w:numPr>
          <w:ilvl w:val="0"/>
          <w:numId w:val="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Any previous contact with the I</w:t>
      </w:r>
      <w:r w:rsidR="00967C39" w:rsidRPr="00A56446">
        <w:rPr>
          <w:rFonts w:cs="Arial"/>
          <w:lang w:val="en-US"/>
        </w:rPr>
        <w:t>nformation Commissioner’s Office (ICO)</w:t>
      </w:r>
    </w:p>
    <w:p w:rsidR="00241E23" w:rsidRPr="00A56446" w:rsidRDefault="00241E23" w:rsidP="00204801">
      <w:pPr>
        <w:pStyle w:val="ListParagraph"/>
        <w:numPr>
          <w:ilvl w:val="0"/>
          <w:numId w:val="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Miscellaneous support information</w:t>
      </w:r>
    </w:p>
    <w:p w:rsidR="005841A2" w:rsidRPr="00A56446" w:rsidRDefault="005841A2" w:rsidP="005841A2">
      <w:pPr>
        <w:rPr>
          <w:rFonts w:asciiTheme="minorHAnsi" w:hAnsiTheme="minorHAnsi" w:cs="Arial"/>
          <w:lang w:val="en-US"/>
        </w:rPr>
      </w:pPr>
    </w:p>
    <w:p w:rsidR="00123E8D" w:rsidRPr="00A56446" w:rsidRDefault="005841A2" w:rsidP="00241E23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The ICO data protection breach notification </w:t>
      </w:r>
      <w:hyperlink r:id="rId11" w:history="1">
        <w:r w:rsidRPr="00A56446">
          <w:rPr>
            <w:rStyle w:val="Hyperlink"/>
            <w:rFonts w:asciiTheme="minorHAnsi" w:hAnsiTheme="minorHAnsi" w:cs="Arial"/>
            <w:sz w:val="22"/>
            <w:szCs w:val="22"/>
            <w:lang w:val="en-US"/>
          </w:rPr>
          <w:t>form</w:t>
        </w:r>
      </w:hyperlink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should be used to report</w:t>
      </w:r>
      <w:r w:rsidR="00967C39" w:rsidRPr="00A56446">
        <w:rPr>
          <w:rFonts w:asciiTheme="minorHAnsi" w:hAnsiTheme="minorHAnsi" w:cs="Arial"/>
          <w:sz w:val="22"/>
          <w:szCs w:val="22"/>
          <w:lang w:val="en-US"/>
        </w:rPr>
        <w:t xml:space="preserve"> a breach. </w:t>
      </w:r>
      <w:r w:rsidR="00123E8D" w:rsidRPr="00A56446">
        <w:rPr>
          <w:rFonts w:asciiTheme="minorHAnsi" w:hAnsiTheme="minorHAnsi" w:cs="Arial"/>
          <w:sz w:val="22"/>
          <w:szCs w:val="22"/>
          <w:lang w:val="en-US"/>
        </w:rPr>
        <w:t>Failure to report a breach can result in a fine of up to €10 million.</w:t>
      </w:r>
      <w:r w:rsidR="00123E8D" w:rsidRPr="00A56446">
        <w:rPr>
          <w:rStyle w:val="FootnoteReference"/>
          <w:rFonts w:asciiTheme="minorHAnsi" w:hAnsiTheme="minorHAnsi" w:cs="Arial"/>
          <w:sz w:val="22"/>
          <w:szCs w:val="22"/>
          <w:lang w:val="en-US"/>
        </w:rPr>
        <w:footnoteReference w:id="8"/>
      </w:r>
    </w:p>
    <w:p w:rsidR="00123E8D" w:rsidRPr="00A56446" w:rsidRDefault="00123E8D" w:rsidP="00241E23">
      <w:pPr>
        <w:rPr>
          <w:rFonts w:asciiTheme="minorHAnsi" w:hAnsiTheme="minorHAnsi" w:cs="Arial"/>
          <w:sz w:val="22"/>
          <w:szCs w:val="22"/>
          <w:lang w:val="en-US"/>
        </w:rPr>
      </w:pPr>
    </w:p>
    <w:p w:rsidR="00123E8D" w:rsidRPr="00A56446" w:rsidRDefault="00967C39" w:rsidP="00241E23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data controller is to ensure</w:t>
      </w:r>
      <w:r w:rsidR="003562F3" w:rsidRPr="00A56446">
        <w:rPr>
          <w:rFonts w:asciiTheme="minorHAnsi" w:hAnsiTheme="minorHAnsi" w:cs="Arial"/>
          <w:sz w:val="22"/>
          <w:szCs w:val="22"/>
          <w:lang w:val="en-US"/>
        </w:rPr>
        <w:t xml:space="preserve"> that</w:t>
      </w:r>
      <w:r w:rsidRPr="00A56446">
        <w:rPr>
          <w:rFonts w:asciiTheme="minorHAnsi" w:hAnsiTheme="minorHAnsi" w:cs="Arial"/>
          <w:sz w:val="22"/>
          <w:szCs w:val="22"/>
          <w:u w:val="single"/>
          <w:lang w:val="en-US"/>
        </w:rPr>
        <w:t>all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breaches at </w:t>
      </w:r>
      <w:r w:rsidR="006630C5">
        <w:rPr>
          <w:rFonts w:asciiTheme="minorHAnsi" w:hAnsiTheme="minorHAnsi" w:cs="Arial"/>
          <w:sz w:val="22"/>
          <w:szCs w:val="22"/>
          <w:lang w:val="en-US"/>
        </w:rPr>
        <w:t>Dr Johnston &amp; Partners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are record</w:t>
      </w:r>
      <w:r w:rsidR="003562F3" w:rsidRPr="00A56446">
        <w:rPr>
          <w:rFonts w:asciiTheme="minorHAnsi" w:hAnsiTheme="minorHAnsi" w:cs="Arial"/>
          <w:sz w:val="22"/>
          <w:szCs w:val="22"/>
          <w:lang w:val="en-US"/>
        </w:rPr>
        <w:t>ed;</w:t>
      </w:r>
      <w:r w:rsidR="00123E8D" w:rsidRPr="00A56446">
        <w:rPr>
          <w:rFonts w:asciiTheme="minorHAnsi" w:hAnsiTheme="minorHAnsi" w:cs="Arial"/>
          <w:sz w:val="22"/>
          <w:szCs w:val="22"/>
          <w:lang w:val="en-US"/>
        </w:rPr>
        <w:t xml:space="preserve"> this includes:</w:t>
      </w:r>
    </w:p>
    <w:p w:rsidR="00123E8D" w:rsidRPr="00A56446" w:rsidRDefault="00123E8D" w:rsidP="00241E23">
      <w:pPr>
        <w:rPr>
          <w:rFonts w:asciiTheme="minorHAnsi" w:hAnsiTheme="minorHAnsi" w:cs="Arial"/>
          <w:sz w:val="22"/>
          <w:szCs w:val="22"/>
          <w:lang w:val="en-US"/>
        </w:rPr>
      </w:pPr>
    </w:p>
    <w:p w:rsidR="00967C39" w:rsidRPr="00A56446" w:rsidRDefault="00123E8D" w:rsidP="00204801">
      <w:pPr>
        <w:pStyle w:val="ListParagraph"/>
        <w:numPr>
          <w:ilvl w:val="0"/>
          <w:numId w:val="9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Documenting the circumstances surrounding the breach</w:t>
      </w:r>
    </w:p>
    <w:p w:rsidR="00123E8D" w:rsidRPr="00A56446" w:rsidRDefault="003562F3" w:rsidP="00204801">
      <w:pPr>
        <w:pStyle w:val="ListParagraph"/>
        <w:numPr>
          <w:ilvl w:val="0"/>
          <w:numId w:val="9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The cause of the breach;</w:t>
      </w:r>
      <w:r w:rsidR="00123E8D" w:rsidRPr="00A56446">
        <w:rPr>
          <w:rFonts w:cs="Arial"/>
          <w:lang w:val="en-US"/>
        </w:rPr>
        <w:t xml:space="preserve"> was it </w:t>
      </w:r>
      <w:r w:rsidRPr="00A56446">
        <w:rPr>
          <w:rFonts w:cs="Arial"/>
          <w:lang w:val="en-US"/>
        </w:rPr>
        <w:t xml:space="preserve">human or a system </w:t>
      </w:r>
      <w:r w:rsidR="00123E8D" w:rsidRPr="00A56446">
        <w:rPr>
          <w:rFonts w:cs="Arial"/>
          <w:lang w:val="en-US"/>
        </w:rPr>
        <w:t>error?</w:t>
      </w:r>
    </w:p>
    <w:p w:rsidR="00123E8D" w:rsidRPr="00A56446" w:rsidRDefault="00123E8D" w:rsidP="00204801">
      <w:pPr>
        <w:pStyle w:val="ListParagraph"/>
        <w:numPr>
          <w:ilvl w:val="0"/>
          <w:numId w:val="9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Identifying how f</w:t>
      </w:r>
      <w:r w:rsidR="003562F3" w:rsidRPr="00A56446">
        <w:rPr>
          <w:rFonts w:cs="Arial"/>
          <w:lang w:val="en-US"/>
        </w:rPr>
        <w:t>uture incidences can be prevented</w:t>
      </w:r>
      <w:r w:rsidRPr="00A56446">
        <w:rPr>
          <w:rFonts w:cs="Arial"/>
          <w:lang w:val="en-US"/>
        </w:rPr>
        <w:t>, such as training sessions or process improvements</w:t>
      </w:r>
    </w:p>
    <w:p w:rsidR="00967C39" w:rsidRPr="00A56446" w:rsidRDefault="00967C39" w:rsidP="00967C39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40" w:name="_Toc505696911"/>
      <w:r w:rsidRPr="00A56446">
        <w:rPr>
          <w:rFonts w:asciiTheme="minorHAnsi" w:hAnsiTheme="minorHAnsi" w:cs="Arial"/>
          <w:smallCaps w:val="0"/>
          <w:sz w:val="24"/>
          <w:szCs w:val="24"/>
        </w:rPr>
        <w:t>Notifying a data subject of a breach</w:t>
      </w:r>
      <w:bookmarkEnd w:id="40"/>
    </w:p>
    <w:p w:rsidR="00967C39" w:rsidRPr="00A56446" w:rsidRDefault="00967C39" w:rsidP="00967C39">
      <w:pPr>
        <w:rPr>
          <w:rFonts w:asciiTheme="minorHAnsi" w:hAnsiTheme="minorHAnsi"/>
          <w:lang w:val="en-US" w:eastAsia="en-US"/>
        </w:rPr>
      </w:pPr>
    </w:p>
    <w:p w:rsidR="00967C39" w:rsidRPr="00A56446" w:rsidRDefault="00967C39" w:rsidP="00967C39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The data controller must notify </w:t>
      </w:r>
      <w:r w:rsidR="00371745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a data subject of a breach </w:t>
      </w:r>
      <w:r w:rsidR="001D10A0" w:rsidRPr="00A56446">
        <w:rPr>
          <w:rFonts w:asciiTheme="minorHAnsi" w:hAnsiTheme="minorHAnsi" w:cs="Arial"/>
          <w:sz w:val="22"/>
          <w:szCs w:val="22"/>
          <w:lang w:val="en-US" w:eastAsia="en-US"/>
        </w:rPr>
        <w:t>that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has affected their person</w:t>
      </w:r>
      <w:r w:rsidR="00371745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al data without undue delay.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If the bre</w:t>
      </w:r>
      <w:r w:rsidR="00371745" w:rsidRPr="00A56446">
        <w:rPr>
          <w:rFonts w:asciiTheme="minorHAnsi" w:hAnsiTheme="minorHAnsi" w:cs="Arial"/>
          <w:sz w:val="22"/>
          <w:szCs w:val="22"/>
          <w:lang w:val="en-US" w:eastAsia="en-US"/>
        </w:rPr>
        <w:t>ach is high risk (i.e. a breach that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is likely to have an adverse effect on an individual’s rights or freedoms), then the data controller is to notify the individual </w:t>
      </w:r>
      <w:r w:rsidRPr="00A56446">
        <w:rPr>
          <w:rFonts w:asciiTheme="minorHAnsi" w:hAnsiTheme="minorHAnsi" w:cs="Arial"/>
          <w:sz w:val="22"/>
          <w:szCs w:val="22"/>
          <w:u w:val="single"/>
          <w:lang w:val="en-US" w:eastAsia="en-US"/>
        </w:rPr>
        <w:t>before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they notify the ICO.</w:t>
      </w:r>
    </w:p>
    <w:p w:rsidR="00967C39" w:rsidRPr="00A56446" w:rsidRDefault="00967C39" w:rsidP="00967C39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967C39" w:rsidRPr="00A56446" w:rsidRDefault="00967C39" w:rsidP="00967C39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The primary reason for</w:t>
      </w:r>
      <w:r w:rsidR="00387D5B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notifying a data subject of a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breach is to afford them the opportunity to take the necessary steps in order to protect themselves from the effects of a breach.</w:t>
      </w:r>
    </w:p>
    <w:p w:rsidR="00967C39" w:rsidRPr="00A56446" w:rsidRDefault="00967C39" w:rsidP="00967C39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967C39" w:rsidRPr="00A56446" w:rsidRDefault="00967C39" w:rsidP="00967C39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When the decision has been made to notify a data subject of a breach, the data controller at </w:t>
      </w:r>
      <w:r w:rsidR="006630C5">
        <w:rPr>
          <w:rFonts w:asciiTheme="minorHAnsi" w:hAnsiTheme="minorHAnsi" w:cs="Arial"/>
          <w:sz w:val="22"/>
          <w:szCs w:val="22"/>
          <w:lang w:val="en-US" w:eastAsia="en-US"/>
        </w:rPr>
        <w:t>Dr Johnston &amp; Partners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is to provide the data subject with the following in</w:t>
      </w:r>
      <w:r w:rsidR="001D10A0" w:rsidRPr="00A56446">
        <w:rPr>
          <w:rFonts w:asciiTheme="minorHAnsi" w:hAnsiTheme="minorHAnsi" w:cs="Arial"/>
          <w:sz w:val="22"/>
          <w:szCs w:val="22"/>
          <w:lang w:val="en-US" w:eastAsia="en-US"/>
        </w:rPr>
        <w:t>formation in a clear, comprehens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ible manner:</w:t>
      </w:r>
    </w:p>
    <w:p w:rsidR="00967C39" w:rsidRPr="00A56446" w:rsidRDefault="00967C39" w:rsidP="00967C39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967C39" w:rsidRPr="00A56446" w:rsidRDefault="00967C39" w:rsidP="00204801">
      <w:pPr>
        <w:pStyle w:val="ListParagraph"/>
        <w:numPr>
          <w:ilvl w:val="0"/>
          <w:numId w:val="8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The circumstances surrounding the breach</w:t>
      </w:r>
    </w:p>
    <w:p w:rsidR="00967C39" w:rsidRPr="00A56446" w:rsidRDefault="00967C39" w:rsidP="00204801">
      <w:pPr>
        <w:pStyle w:val="ListParagraph"/>
        <w:numPr>
          <w:ilvl w:val="0"/>
          <w:numId w:val="8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 xml:space="preserve">The </w:t>
      </w:r>
      <w:r w:rsidR="00ED0EA9" w:rsidRPr="00A56446">
        <w:rPr>
          <w:rFonts w:cs="Arial"/>
          <w:lang w:val="en-US"/>
        </w:rPr>
        <w:t>details of the person who will be managing the breach</w:t>
      </w:r>
    </w:p>
    <w:p w:rsidR="00ED0EA9" w:rsidRPr="00A56446" w:rsidRDefault="00ED0EA9" w:rsidP="00204801">
      <w:pPr>
        <w:pStyle w:val="ListParagraph"/>
        <w:numPr>
          <w:ilvl w:val="0"/>
          <w:numId w:val="8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Any actions taken to contain and manage the breach</w:t>
      </w:r>
    </w:p>
    <w:p w:rsidR="00ED0EA9" w:rsidRPr="00A56446" w:rsidRDefault="00ED0EA9" w:rsidP="00204801">
      <w:pPr>
        <w:pStyle w:val="ListParagraph"/>
        <w:numPr>
          <w:ilvl w:val="0"/>
          <w:numId w:val="8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Any other pertinent information to support the data subject</w:t>
      </w:r>
    </w:p>
    <w:p w:rsidR="00ED0EA9" w:rsidRPr="00A56446" w:rsidRDefault="00ED0EA9" w:rsidP="00ED0EA9">
      <w:pPr>
        <w:rPr>
          <w:rFonts w:asciiTheme="minorHAnsi" w:hAnsiTheme="minorHAnsi" w:cs="Arial"/>
          <w:lang w:val="en-US"/>
        </w:rPr>
      </w:pPr>
    </w:p>
    <w:p w:rsidR="007650FE" w:rsidRPr="00A56446" w:rsidRDefault="007650FE" w:rsidP="007650F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41" w:name="_Toc505696912"/>
      <w:r w:rsidRPr="00A56446">
        <w:rPr>
          <w:rFonts w:asciiTheme="minorHAnsi" w:hAnsiTheme="minorHAnsi"/>
          <w:sz w:val="28"/>
          <w:szCs w:val="28"/>
        </w:rPr>
        <w:t>Data erasure</w:t>
      </w:r>
      <w:bookmarkEnd w:id="41"/>
    </w:p>
    <w:p w:rsidR="007650FE" w:rsidRPr="00A56446" w:rsidRDefault="007650FE" w:rsidP="007650FE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42" w:name="_Toc505696913"/>
      <w:r w:rsidRPr="00A56446">
        <w:rPr>
          <w:rFonts w:asciiTheme="minorHAnsi" w:hAnsiTheme="minorHAnsi" w:cs="Arial"/>
          <w:smallCaps w:val="0"/>
          <w:sz w:val="24"/>
          <w:szCs w:val="24"/>
        </w:rPr>
        <w:t>Erasure</w:t>
      </w:r>
      <w:bookmarkEnd w:id="42"/>
    </w:p>
    <w:p w:rsidR="00ED0EA9" w:rsidRPr="00A56446" w:rsidRDefault="00ED0EA9" w:rsidP="00ED0EA9">
      <w:pPr>
        <w:rPr>
          <w:rFonts w:asciiTheme="minorHAnsi" w:hAnsiTheme="minorHAnsi" w:cs="Arial"/>
          <w:lang w:val="en-US"/>
        </w:rPr>
      </w:pPr>
    </w:p>
    <w:p w:rsidR="00B337C9" w:rsidRPr="00A56446" w:rsidRDefault="007650FE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Dat</w:t>
      </w:r>
      <w:r w:rsidR="001D10A0" w:rsidRPr="00A56446">
        <w:rPr>
          <w:rFonts w:asciiTheme="minorHAnsi" w:hAnsiTheme="minorHAnsi" w:cs="Arial"/>
          <w:sz w:val="22"/>
          <w:szCs w:val="22"/>
          <w:lang w:val="en-US"/>
        </w:rPr>
        <w:t>a erasure is also known as the “right to be forgotten”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, </w:t>
      </w:r>
      <w:r w:rsidR="00E41DD9" w:rsidRPr="00A56446">
        <w:rPr>
          <w:rFonts w:asciiTheme="minorHAnsi" w:hAnsiTheme="minorHAnsi" w:cs="Arial"/>
          <w:sz w:val="22"/>
          <w:szCs w:val="22"/>
          <w:lang w:val="en-US"/>
        </w:rPr>
        <w:t>which enables a data subject to request the deletion of personal data where there is no compelling reason to retain or continu</w:t>
      </w:r>
      <w:r w:rsidR="001D10A0" w:rsidRPr="00A56446">
        <w:rPr>
          <w:rFonts w:asciiTheme="minorHAnsi" w:hAnsiTheme="minorHAnsi" w:cs="Arial"/>
          <w:sz w:val="22"/>
          <w:szCs w:val="22"/>
          <w:lang w:val="en-US"/>
        </w:rPr>
        <w:t xml:space="preserve">e to process this information. </w:t>
      </w:r>
      <w:r w:rsidR="00E41DD9" w:rsidRPr="00A56446">
        <w:rPr>
          <w:rFonts w:asciiTheme="minorHAnsi" w:hAnsiTheme="minorHAnsi" w:cs="Arial"/>
          <w:sz w:val="22"/>
          <w:szCs w:val="22"/>
          <w:lang w:val="en-US"/>
        </w:rPr>
        <w:t>It should be noted that the right to be forgotten does not provide an</w:t>
      </w:r>
      <w:r w:rsidR="001D10A0" w:rsidRPr="00A56446">
        <w:rPr>
          <w:rFonts w:asciiTheme="minorHAnsi" w:hAnsiTheme="minorHAnsi" w:cs="Arial"/>
          <w:sz w:val="22"/>
          <w:szCs w:val="22"/>
          <w:lang w:val="en-US"/>
        </w:rPr>
        <w:t xml:space="preserve"> absolute right to be forgotten; a data subject has a right to </w:t>
      </w:r>
      <w:r w:rsidR="00E41DD9" w:rsidRPr="00A56446">
        <w:rPr>
          <w:rFonts w:asciiTheme="minorHAnsi" w:hAnsiTheme="minorHAnsi" w:cs="Arial"/>
          <w:sz w:val="22"/>
          <w:szCs w:val="22"/>
          <w:lang w:val="en-US"/>
        </w:rPr>
        <w:t>have data erased in certain situations.</w:t>
      </w:r>
    </w:p>
    <w:p w:rsidR="00E41DD9" w:rsidRPr="00A56446" w:rsidRDefault="00E41DD9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:rsidR="00E41DD9" w:rsidRPr="00A56446" w:rsidRDefault="00E41DD9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following are examples of specific circumstances for data erasure:</w:t>
      </w:r>
    </w:p>
    <w:p w:rsidR="00E41DD9" w:rsidRPr="00A56446" w:rsidRDefault="00E41DD9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:rsidR="00E41DD9" w:rsidRPr="00A56446" w:rsidRDefault="00E41DD9" w:rsidP="00204801">
      <w:pPr>
        <w:pStyle w:val="ListParagraph"/>
        <w:numPr>
          <w:ilvl w:val="0"/>
          <w:numId w:val="10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Where the data is no longer needed for the original purpose for which it was collected</w:t>
      </w:r>
    </w:p>
    <w:p w:rsidR="00E41DD9" w:rsidRPr="00A56446" w:rsidRDefault="00E41DD9" w:rsidP="00204801">
      <w:pPr>
        <w:pStyle w:val="ListParagraph"/>
        <w:numPr>
          <w:ilvl w:val="0"/>
          <w:numId w:val="10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In instances where the data subject withdraws consent</w:t>
      </w:r>
    </w:p>
    <w:p w:rsidR="00E41DD9" w:rsidRPr="00A56446" w:rsidRDefault="00E41DD9" w:rsidP="00204801">
      <w:pPr>
        <w:pStyle w:val="ListParagraph"/>
        <w:numPr>
          <w:ilvl w:val="0"/>
          <w:numId w:val="10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 xml:space="preserve">If data subjects object to the information being processed and there is no legitimate need to continue processing it </w:t>
      </w:r>
    </w:p>
    <w:p w:rsidR="00E41DD9" w:rsidRPr="00A56446" w:rsidRDefault="00E41DD9" w:rsidP="00204801">
      <w:pPr>
        <w:pStyle w:val="ListParagraph"/>
        <w:numPr>
          <w:ilvl w:val="0"/>
          <w:numId w:val="10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In cases of unlawful processing</w:t>
      </w:r>
    </w:p>
    <w:p w:rsidR="00E41DD9" w:rsidRPr="00A56446" w:rsidRDefault="00E41DD9" w:rsidP="00204801">
      <w:pPr>
        <w:pStyle w:val="ListParagraph"/>
        <w:numPr>
          <w:ilvl w:val="0"/>
          <w:numId w:val="10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The need to erase data to comply with legal requirements</w:t>
      </w:r>
    </w:p>
    <w:p w:rsidR="00E41DD9" w:rsidRPr="00A56446" w:rsidRDefault="00E41DD9" w:rsidP="00E41DD9">
      <w:pPr>
        <w:rPr>
          <w:rFonts w:asciiTheme="minorHAnsi" w:hAnsiTheme="minorHAnsi" w:cs="Arial"/>
          <w:lang w:val="en-US"/>
        </w:rPr>
      </w:pPr>
    </w:p>
    <w:p w:rsidR="00E41DD9" w:rsidRPr="00A56446" w:rsidRDefault="00E41DD9" w:rsidP="00E41DD9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data controller can refuse to comply with a request for erasure in order to:</w:t>
      </w:r>
    </w:p>
    <w:p w:rsidR="00E41DD9" w:rsidRPr="00A56446" w:rsidRDefault="00E41DD9" w:rsidP="00E41DD9">
      <w:pPr>
        <w:rPr>
          <w:rFonts w:asciiTheme="minorHAnsi" w:hAnsiTheme="minorHAnsi" w:cs="Arial"/>
          <w:sz w:val="22"/>
          <w:szCs w:val="22"/>
          <w:lang w:val="en-US"/>
        </w:rPr>
      </w:pPr>
    </w:p>
    <w:p w:rsidR="00E41DD9" w:rsidRPr="00A56446" w:rsidRDefault="00E41DD9" w:rsidP="00204801">
      <w:pPr>
        <w:pStyle w:val="ListParagraph"/>
        <w:numPr>
          <w:ilvl w:val="0"/>
          <w:numId w:val="11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Exercise the right for freedom of information or freedom of expression</w:t>
      </w:r>
    </w:p>
    <w:p w:rsidR="00E41DD9" w:rsidRPr="00A56446" w:rsidRDefault="00E41DD9" w:rsidP="00204801">
      <w:pPr>
        <w:pStyle w:val="ListParagraph"/>
        <w:numPr>
          <w:ilvl w:val="0"/>
          <w:numId w:val="11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For public health purposes in the interest of the wider public</w:t>
      </w:r>
    </w:p>
    <w:p w:rsidR="00E41DD9" w:rsidRPr="00A56446" w:rsidRDefault="00E41DD9" w:rsidP="00204801">
      <w:pPr>
        <w:pStyle w:val="ListParagraph"/>
        <w:numPr>
          <w:ilvl w:val="0"/>
          <w:numId w:val="11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To comply with legal obligations or in the defence of legal claims</w:t>
      </w:r>
    </w:p>
    <w:p w:rsidR="0035600D" w:rsidRPr="00A56446" w:rsidRDefault="0035600D" w:rsidP="0035600D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43" w:name="_Toc505696914"/>
      <w:r w:rsidRPr="00A56446">
        <w:rPr>
          <w:rFonts w:asciiTheme="minorHAnsi" w:hAnsiTheme="minorHAnsi" w:cs="Arial"/>
          <w:smallCaps w:val="0"/>
          <w:sz w:val="24"/>
          <w:szCs w:val="24"/>
        </w:rPr>
        <w:t>Notifying third parties about data erasure requests</w:t>
      </w:r>
      <w:bookmarkEnd w:id="43"/>
    </w:p>
    <w:p w:rsidR="00B337C9" w:rsidRPr="00A56446" w:rsidRDefault="00B337C9" w:rsidP="00E2519D">
      <w:pPr>
        <w:rPr>
          <w:rFonts w:asciiTheme="minorHAnsi" w:hAnsiTheme="minorHAnsi" w:cs="Arial"/>
          <w:lang w:val="en-US"/>
        </w:rPr>
      </w:pPr>
    </w:p>
    <w:p w:rsidR="00B337C9" w:rsidRPr="00A56446" w:rsidRDefault="00C3402A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Where </w:t>
      </w:r>
      <w:r w:rsidR="006630C5">
        <w:rPr>
          <w:rFonts w:asciiTheme="minorHAnsi" w:hAnsiTheme="minorHAnsi" w:cs="Arial"/>
          <w:sz w:val="22"/>
          <w:szCs w:val="22"/>
          <w:lang w:val="en-US"/>
        </w:rPr>
        <w:t>Dr Johnston &amp; Partners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has shared information with a third party, there is an obligation to inform the third party about the data subject</w:t>
      </w:r>
      <w:r w:rsidR="001D10A0" w:rsidRPr="00A56446">
        <w:rPr>
          <w:rFonts w:asciiTheme="minorHAnsi" w:hAnsiTheme="minorHAnsi" w:cs="Arial"/>
          <w:sz w:val="22"/>
          <w:szCs w:val="22"/>
          <w:lang w:val="en-US"/>
        </w:rPr>
        <w:t>’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s request to erase their data; this is so long as it is achievable and reasonably practical to do so.</w:t>
      </w:r>
    </w:p>
    <w:p w:rsidR="00B337C9" w:rsidRPr="00A56446" w:rsidRDefault="00B337C9" w:rsidP="00E2519D">
      <w:pPr>
        <w:rPr>
          <w:rFonts w:asciiTheme="minorHAnsi" w:hAnsiTheme="minorHAnsi" w:cs="Arial"/>
          <w:lang w:val="en-US"/>
        </w:rPr>
      </w:pPr>
    </w:p>
    <w:p w:rsidR="00B337C9" w:rsidRPr="00A56446" w:rsidRDefault="003F4D58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330B18">
        <w:rPr>
          <w:rFonts w:asciiTheme="minorHAnsi" w:hAnsiTheme="minorHAnsi" w:cs="Arial"/>
          <w:sz w:val="22"/>
          <w:szCs w:val="22"/>
          <w:lang w:val="en-US"/>
        </w:rPr>
        <w:t xml:space="preserve">This policy will be updated once </w:t>
      </w:r>
      <w:r w:rsidR="0035600D" w:rsidRPr="00330B18">
        <w:rPr>
          <w:rFonts w:asciiTheme="minorHAnsi" w:hAnsiTheme="minorHAnsi" w:cs="Arial"/>
          <w:sz w:val="22"/>
          <w:szCs w:val="22"/>
          <w:lang w:val="en-US"/>
        </w:rPr>
        <w:t xml:space="preserve">the </w:t>
      </w:r>
      <w:r w:rsidRPr="00330B18">
        <w:rPr>
          <w:rFonts w:asciiTheme="minorHAnsi" w:hAnsiTheme="minorHAnsi" w:cs="Arial"/>
          <w:sz w:val="22"/>
          <w:szCs w:val="22"/>
          <w:lang w:val="en-US"/>
        </w:rPr>
        <w:t xml:space="preserve">NHS </w:t>
      </w:r>
      <w:r w:rsidR="0035600D" w:rsidRPr="00330B18">
        <w:rPr>
          <w:rFonts w:asciiTheme="minorHAnsi" w:hAnsiTheme="minorHAnsi" w:cs="Arial"/>
          <w:sz w:val="22"/>
          <w:szCs w:val="22"/>
          <w:lang w:val="en-US"/>
        </w:rPr>
        <w:t>IGA</w:t>
      </w:r>
      <w:r w:rsidRPr="00330B18">
        <w:rPr>
          <w:rFonts w:asciiTheme="minorHAnsi" w:hAnsiTheme="minorHAnsi" w:cs="Arial"/>
          <w:sz w:val="22"/>
          <w:szCs w:val="22"/>
          <w:lang w:val="en-US"/>
        </w:rPr>
        <w:t>have issued guidance regarding data erasure</w:t>
      </w:r>
      <w:r w:rsidRPr="00A56446">
        <w:rPr>
          <w:rFonts w:asciiTheme="minorHAnsi" w:hAnsiTheme="minorHAnsi" w:cs="Arial"/>
          <w:sz w:val="22"/>
          <w:szCs w:val="22"/>
          <w:highlight w:val="yellow"/>
          <w:lang w:val="en-US"/>
        </w:rPr>
        <w:t>.</w:t>
      </w:r>
    </w:p>
    <w:p w:rsidR="0035600D" w:rsidRPr="00A56446" w:rsidRDefault="0035600D" w:rsidP="0035600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44" w:name="_Toc505696915"/>
      <w:r w:rsidRPr="00A56446">
        <w:rPr>
          <w:rFonts w:asciiTheme="minorHAnsi" w:hAnsiTheme="minorHAnsi"/>
          <w:sz w:val="28"/>
          <w:szCs w:val="28"/>
        </w:rPr>
        <w:t>Consent</w:t>
      </w:r>
      <w:bookmarkEnd w:id="44"/>
    </w:p>
    <w:p w:rsidR="0035600D" w:rsidRPr="00A56446" w:rsidRDefault="00332780" w:rsidP="0035600D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45" w:name="_Toc505696916"/>
      <w:r w:rsidRPr="00A56446">
        <w:rPr>
          <w:rFonts w:asciiTheme="minorHAnsi" w:hAnsiTheme="minorHAnsi" w:cs="Arial"/>
          <w:smallCaps w:val="0"/>
          <w:sz w:val="24"/>
          <w:szCs w:val="24"/>
        </w:rPr>
        <w:t>Appropriateness</w:t>
      </w:r>
      <w:bookmarkEnd w:id="45"/>
    </w:p>
    <w:p w:rsidR="00332780" w:rsidRPr="00A56446" w:rsidRDefault="00332780" w:rsidP="00332780">
      <w:pPr>
        <w:rPr>
          <w:rFonts w:asciiTheme="minorHAnsi" w:hAnsiTheme="minorHAnsi"/>
          <w:lang w:val="en-US" w:eastAsia="en-US"/>
        </w:rPr>
      </w:pPr>
    </w:p>
    <w:p w:rsidR="00332780" w:rsidRPr="00A56446" w:rsidRDefault="00332780" w:rsidP="00332780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Consent is appropriate if data processors are in a position to </w:t>
      </w:r>
      <w:r w:rsidR="001D10A0" w:rsidRPr="00A56446">
        <w:rPr>
          <w:rFonts w:asciiTheme="minorHAnsi" w:hAnsiTheme="minorHAnsi" w:cs="Arial"/>
          <w:sz w:val="22"/>
          <w:szCs w:val="22"/>
          <w:lang w:val="en-US" w:eastAsia="en-US"/>
        </w:rPr>
        <w:t>“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offer people real choice and control over how their data is used</w:t>
      </w:r>
      <w:r w:rsidR="001D10A0" w:rsidRPr="00A56446">
        <w:rPr>
          <w:rFonts w:asciiTheme="minorHAnsi" w:hAnsiTheme="minorHAnsi" w:cs="Arial"/>
          <w:sz w:val="22"/>
          <w:szCs w:val="22"/>
          <w:lang w:val="en-US" w:eastAsia="en-US"/>
        </w:rPr>
        <w:t>”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.</w:t>
      </w:r>
      <w:r w:rsidRPr="00A56446">
        <w:rPr>
          <w:rStyle w:val="FootnoteReference"/>
          <w:rFonts w:asciiTheme="minorHAnsi" w:hAnsiTheme="minorHAnsi" w:cs="Arial"/>
          <w:sz w:val="22"/>
          <w:szCs w:val="22"/>
          <w:lang w:val="en-US" w:eastAsia="en-US"/>
        </w:rPr>
        <w:footnoteReference w:id="9"/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The GDPR states that consent must be unambiguous and requi</w:t>
      </w:r>
      <w:r w:rsidR="001D10A0" w:rsidRPr="00A56446">
        <w:rPr>
          <w:rFonts w:asciiTheme="minorHAnsi" w:hAnsiTheme="minorHAnsi" w:cs="Arial"/>
          <w:sz w:val="22"/>
          <w:szCs w:val="22"/>
          <w:lang w:val="en-US" w:eastAsia="en-US"/>
        </w:rPr>
        <w:t>res a positive action to “opt in”, and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it must be freely given.  Data subjects have the right to withdraw consent at any time.</w:t>
      </w:r>
    </w:p>
    <w:p w:rsidR="00332780" w:rsidRPr="00A56446" w:rsidRDefault="00332780" w:rsidP="00332780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46" w:name="_Toc505696917"/>
      <w:r w:rsidRPr="00A56446">
        <w:rPr>
          <w:rFonts w:asciiTheme="minorHAnsi" w:hAnsiTheme="minorHAnsi" w:cs="Arial"/>
          <w:smallCaps w:val="0"/>
          <w:sz w:val="24"/>
          <w:szCs w:val="24"/>
        </w:rPr>
        <w:lastRenderedPageBreak/>
        <w:t>Obtaining consent</w:t>
      </w:r>
      <w:bookmarkEnd w:id="46"/>
    </w:p>
    <w:p w:rsidR="00332780" w:rsidRPr="00A56446" w:rsidRDefault="00332780" w:rsidP="00332780">
      <w:pPr>
        <w:rPr>
          <w:rFonts w:asciiTheme="minorHAnsi" w:hAnsiTheme="minorHAnsi"/>
          <w:lang w:val="en-US" w:eastAsia="en-US"/>
        </w:rPr>
      </w:pPr>
    </w:p>
    <w:p w:rsidR="00332780" w:rsidRPr="00A56446" w:rsidRDefault="00332780" w:rsidP="00332780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If it is deemed appropriate to obtain consent, the following must be explained to the data subject:</w:t>
      </w:r>
    </w:p>
    <w:p w:rsidR="00332780" w:rsidRPr="00A56446" w:rsidRDefault="00332780" w:rsidP="00332780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332780" w:rsidRPr="00A56446" w:rsidRDefault="00332780" w:rsidP="00204801">
      <w:pPr>
        <w:pStyle w:val="ListParagraph"/>
        <w:numPr>
          <w:ilvl w:val="0"/>
          <w:numId w:val="1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Why the practice want</w:t>
      </w:r>
      <w:r w:rsidR="0033473B" w:rsidRPr="00A56446">
        <w:rPr>
          <w:rFonts w:cs="Arial"/>
          <w:lang w:val="en-US"/>
        </w:rPr>
        <w:t>s</w:t>
      </w:r>
      <w:r w:rsidRPr="00A56446">
        <w:rPr>
          <w:rFonts w:cs="Arial"/>
          <w:lang w:val="en-US"/>
        </w:rPr>
        <w:t xml:space="preserve"> the data</w:t>
      </w:r>
    </w:p>
    <w:p w:rsidR="00332780" w:rsidRPr="00A56446" w:rsidRDefault="00332780" w:rsidP="00204801">
      <w:pPr>
        <w:pStyle w:val="ListParagraph"/>
        <w:numPr>
          <w:ilvl w:val="0"/>
          <w:numId w:val="1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How the data will be used by the practice</w:t>
      </w:r>
    </w:p>
    <w:p w:rsidR="00332780" w:rsidRPr="00A56446" w:rsidRDefault="0033473B" w:rsidP="00204801">
      <w:pPr>
        <w:pStyle w:val="ListParagraph"/>
        <w:numPr>
          <w:ilvl w:val="0"/>
          <w:numId w:val="1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The names of any third-</w:t>
      </w:r>
      <w:r w:rsidR="00332780" w:rsidRPr="00A56446">
        <w:rPr>
          <w:rFonts w:cs="Arial"/>
          <w:lang w:val="en-US"/>
        </w:rPr>
        <w:t>party controllers with whom the data will be shared</w:t>
      </w:r>
    </w:p>
    <w:p w:rsidR="00332780" w:rsidRPr="00A56446" w:rsidRDefault="00E30399" w:rsidP="00204801">
      <w:pPr>
        <w:pStyle w:val="ListParagraph"/>
        <w:numPr>
          <w:ilvl w:val="0"/>
          <w:numId w:val="1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Their right to withdraw consent at any time</w:t>
      </w:r>
    </w:p>
    <w:p w:rsidR="00E30399" w:rsidRPr="00A56446" w:rsidRDefault="00E30399" w:rsidP="00E30399">
      <w:pPr>
        <w:rPr>
          <w:rFonts w:asciiTheme="minorHAnsi" w:hAnsiTheme="minorHAnsi" w:cs="Arial"/>
          <w:lang w:val="en-US"/>
        </w:rPr>
      </w:pPr>
    </w:p>
    <w:p w:rsidR="00E30399" w:rsidRPr="00A56446" w:rsidRDefault="00E30399" w:rsidP="00E30399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All requests for consent are to be recorded, with the record showing:</w:t>
      </w:r>
    </w:p>
    <w:p w:rsidR="00E30399" w:rsidRPr="00A56446" w:rsidRDefault="00E30399" w:rsidP="00E30399">
      <w:pPr>
        <w:rPr>
          <w:rFonts w:asciiTheme="minorHAnsi" w:hAnsiTheme="minorHAnsi" w:cs="Arial"/>
          <w:lang w:val="en-US"/>
        </w:rPr>
      </w:pPr>
    </w:p>
    <w:p w:rsidR="00E30399" w:rsidRPr="00A56446" w:rsidRDefault="00E30399" w:rsidP="00204801">
      <w:pPr>
        <w:pStyle w:val="ListParagraph"/>
        <w:numPr>
          <w:ilvl w:val="0"/>
          <w:numId w:val="13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 xml:space="preserve">The details of the data subject consenting </w:t>
      </w:r>
    </w:p>
    <w:p w:rsidR="00E30399" w:rsidRPr="00A56446" w:rsidRDefault="00E30399" w:rsidP="00204801">
      <w:pPr>
        <w:pStyle w:val="ListParagraph"/>
        <w:numPr>
          <w:ilvl w:val="0"/>
          <w:numId w:val="13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When they consented</w:t>
      </w:r>
    </w:p>
    <w:p w:rsidR="00E30399" w:rsidRPr="00A56446" w:rsidRDefault="00E30399" w:rsidP="00204801">
      <w:pPr>
        <w:pStyle w:val="ListParagraph"/>
        <w:numPr>
          <w:ilvl w:val="0"/>
          <w:numId w:val="13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How they consented</w:t>
      </w:r>
    </w:p>
    <w:p w:rsidR="00E30399" w:rsidRPr="00A56446" w:rsidRDefault="00E30399" w:rsidP="00204801">
      <w:pPr>
        <w:pStyle w:val="ListParagraph"/>
        <w:numPr>
          <w:ilvl w:val="0"/>
          <w:numId w:val="13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What information the data subject was told</w:t>
      </w:r>
    </w:p>
    <w:p w:rsidR="00332780" w:rsidRPr="00A56446" w:rsidRDefault="00332780" w:rsidP="00332780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E23FDB" w:rsidRPr="00A56446" w:rsidRDefault="00E23FDB" w:rsidP="00E23FDB">
      <w:pPr>
        <w:rPr>
          <w:rFonts w:asciiTheme="minorHAnsi" w:hAnsiTheme="minorHAnsi" w:cs="Arial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Consent is to be clearly identifiable and separate from other comments entered into the healthcare record. At </w:t>
      </w:r>
      <w:r w:rsidR="006630C5">
        <w:rPr>
          <w:rFonts w:asciiTheme="minorHAnsi" w:hAnsiTheme="minorHAnsi" w:cs="Arial"/>
          <w:sz w:val="22"/>
          <w:szCs w:val="22"/>
          <w:lang w:val="en-US"/>
        </w:rPr>
        <w:t>Dr Johnston &amp; Partners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it is the responsibility of the data controller </w:t>
      </w:r>
      <w:r w:rsidR="006630C5">
        <w:rPr>
          <w:rFonts w:asciiTheme="minorHAnsi" w:hAnsiTheme="minorHAnsi" w:cs="Arial"/>
          <w:sz w:val="22"/>
          <w:szCs w:val="22"/>
          <w:lang w:val="en-US"/>
        </w:rPr>
        <w:t>Vickie Robinson, Practice Manager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to demonstrate that consent has been obtained. Furthermore, the data controller must ensure </w:t>
      </w:r>
      <w:r w:rsidR="00966AC0" w:rsidRPr="00A56446">
        <w:rPr>
          <w:rFonts w:asciiTheme="minorHAnsi" w:hAnsiTheme="minorHAnsi" w:cs="Arial"/>
          <w:sz w:val="22"/>
          <w:szCs w:val="22"/>
          <w:lang w:val="en-US"/>
        </w:rPr>
        <w:t xml:space="preserve">that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data subjects (patients) are fully aware of their right to withdraw consent</w:t>
      </w:r>
      <w:r w:rsidR="00966AC0" w:rsidRPr="00A56446">
        <w:rPr>
          <w:rFonts w:asciiTheme="minorHAnsi" w:hAnsiTheme="minorHAnsi" w:cs="Arial"/>
          <w:sz w:val="22"/>
          <w:szCs w:val="22"/>
          <w:lang w:val="en-US"/>
        </w:rPr>
        <w:t>,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and </w:t>
      </w:r>
      <w:r w:rsidR="00966AC0" w:rsidRPr="00A56446">
        <w:rPr>
          <w:rFonts w:asciiTheme="minorHAnsi" w:hAnsiTheme="minorHAnsi" w:cs="Arial"/>
          <w:sz w:val="22"/>
          <w:szCs w:val="22"/>
          <w:lang w:val="en-US"/>
        </w:rPr>
        <w:t xml:space="preserve">must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facilitate withdrawal as and when it is requested.  </w:t>
      </w:r>
    </w:p>
    <w:p w:rsidR="00E23FDB" w:rsidRPr="00A56446" w:rsidRDefault="00E23FDB" w:rsidP="00E23FDB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r w:rsidRPr="00A56446">
        <w:rPr>
          <w:rFonts w:asciiTheme="minorHAnsi" w:hAnsiTheme="minorHAnsi" w:cs="Arial"/>
          <w:smallCaps w:val="0"/>
          <w:sz w:val="24"/>
          <w:szCs w:val="24"/>
        </w:rPr>
        <w:t>Parental consent</w:t>
      </w:r>
    </w:p>
    <w:p w:rsidR="00E23FDB" w:rsidRPr="00A56446" w:rsidRDefault="00E23FDB" w:rsidP="00E23FDB">
      <w:pPr>
        <w:rPr>
          <w:rFonts w:asciiTheme="minorHAnsi" w:hAnsiTheme="minorHAnsi" w:cs="Arial"/>
          <w:sz w:val="22"/>
          <w:szCs w:val="22"/>
          <w:highlight w:val="yellow"/>
          <w:lang w:val="en-US"/>
        </w:rPr>
      </w:pPr>
    </w:p>
    <w:p w:rsidR="00E23FDB" w:rsidRPr="00A56446" w:rsidRDefault="00E23FDB" w:rsidP="00E23FDB">
      <w:pPr>
        <w:rPr>
          <w:rFonts w:asciiTheme="minorHAnsi" w:hAnsiTheme="minorHAnsi" w:cs="Arial"/>
          <w:sz w:val="22"/>
          <w:szCs w:val="22"/>
          <w:lang w:val="en-US"/>
        </w:rPr>
      </w:pPr>
      <w:r w:rsidRPr="00330B18">
        <w:rPr>
          <w:rFonts w:asciiTheme="minorHAnsi" w:hAnsiTheme="minorHAnsi" w:cs="Arial"/>
          <w:sz w:val="22"/>
          <w:szCs w:val="22"/>
          <w:lang w:val="en-US"/>
        </w:rPr>
        <w:t>Whilst the GDPR states that parental consent is required for a child under the age of 16, the DPA18 will reduce this age to 13 in the UK. Additionally, the principle of Gillick competence remains unaffected</w:t>
      </w:r>
      <w:r w:rsidR="00966AC0" w:rsidRPr="00330B18">
        <w:rPr>
          <w:rFonts w:asciiTheme="minorHAnsi" w:hAnsiTheme="minorHAnsi" w:cs="Arial"/>
          <w:sz w:val="22"/>
          <w:szCs w:val="22"/>
          <w:lang w:val="en-US"/>
        </w:rPr>
        <w:t>;</w:t>
      </w:r>
      <w:r w:rsidRPr="00330B18">
        <w:rPr>
          <w:rFonts w:asciiTheme="minorHAnsi" w:hAnsiTheme="minorHAnsi" w:cs="Arial"/>
          <w:sz w:val="22"/>
          <w:szCs w:val="22"/>
          <w:lang w:val="en-US"/>
        </w:rPr>
        <w:t xml:space="preserve"> nor is parental consent necessary when a child is receiving counselling or preventative care.</w:t>
      </w:r>
    </w:p>
    <w:p w:rsidR="00397377" w:rsidRPr="00A56446" w:rsidRDefault="00397377" w:rsidP="00E23FDB">
      <w:pPr>
        <w:rPr>
          <w:rFonts w:asciiTheme="minorHAnsi" w:hAnsiTheme="minorHAnsi" w:cs="Arial"/>
          <w:sz w:val="22"/>
          <w:szCs w:val="22"/>
          <w:lang w:val="en-US"/>
        </w:rPr>
      </w:pPr>
    </w:p>
    <w:p w:rsidR="00397377" w:rsidRPr="00A56446" w:rsidRDefault="00397377" w:rsidP="00E23FDB">
      <w:pPr>
        <w:rPr>
          <w:rFonts w:asciiTheme="minorHAnsi" w:hAnsiTheme="minorHAnsi" w:cs="Arial"/>
          <w:sz w:val="22"/>
          <w:szCs w:val="22"/>
          <w:lang w:val="en-US"/>
        </w:rPr>
      </w:pPr>
    </w:p>
    <w:p w:rsidR="00BE2434" w:rsidRPr="00A56446" w:rsidRDefault="00BE2434" w:rsidP="00966AC0">
      <w:pPr>
        <w:pStyle w:val="Heading1"/>
        <w:rPr>
          <w:rFonts w:asciiTheme="minorHAnsi" w:hAnsiTheme="minorHAnsi"/>
          <w:sz w:val="28"/>
          <w:szCs w:val="28"/>
        </w:rPr>
      </w:pPr>
      <w:bookmarkStart w:id="47" w:name="_Toc505696918"/>
      <w:r w:rsidRPr="00A56446">
        <w:rPr>
          <w:rFonts w:asciiTheme="minorHAnsi" w:hAnsiTheme="minorHAnsi"/>
          <w:sz w:val="28"/>
          <w:szCs w:val="28"/>
        </w:rPr>
        <w:t xml:space="preserve">Preparing for </w:t>
      </w:r>
      <w:r w:rsidR="0033473B" w:rsidRPr="00A56446">
        <w:rPr>
          <w:rFonts w:asciiTheme="minorHAnsi" w:hAnsiTheme="minorHAnsi"/>
          <w:sz w:val="28"/>
          <w:szCs w:val="28"/>
        </w:rPr>
        <w:t xml:space="preserve">the </w:t>
      </w:r>
      <w:r w:rsidRPr="00A56446">
        <w:rPr>
          <w:rFonts w:asciiTheme="minorHAnsi" w:hAnsiTheme="minorHAnsi"/>
          <w:sz w:val="28"/>
          <w:szCs w:val="28"/>
        </w:rPr>
        <w:t>GDPR</w:t>
      </w:r>
      <w:bookmarkEnd w:id="47"/>
    </w:p>
    <w:p w:rsidR="00BE2434" w:rsidRPr="00A56446" w:rsidRDefault="00BE2434" w:rsidP="00BE2434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48" w:name="_Toc505696919"/>
      <w:r w:rsidRPr="00A56446">
        <w:rPr>
          <w:rFonts w:asciiTheme="minorHAnsi" w:hAnsiTheme="minorHAnsi" w:cs="Arial"/>
          <w:smallCaps w:val="0"/>
          <w:sz w:val="24"/>
          <w:szCs w:val="24"/>
        </w:rPr>
        <w:t xml:space="preserve">Data </w:t>
      </w:r>
      <w:r w:rsidR="000D2BB3" w:rsidRPr="00A56446">
        <w:rPr>
          <w:rFonts w:asciiTheme="minorHAnsi" w:hAnsiTheme="minorHAnsi" w:cs="Arial"/>
          <w:smallCaps w:val="0"/>
          <w:sz w:val="24"/>
          <w:szCs w:val="24"/>
        </w:rPr>
        <w:t>m</w:t>
      </w:r>
      <w:r w:rsidRPr="00A56446">
        <w:rPr>
          <w:rFonts w:asciiTheme="minorHAnsi" w:hAnsiTheme="minorHAnsi" w:cs="Arial"/>
          <w:smallCaps w:val="0"/>
          <w:sz w:val="24"/>
          <w:szCs w:val="24"/>
        </w:rPr>
        <w:t>apping</w:t>
      </w:r>
      <w:bookmarkEnd w:id="48"/>
    </w:p>
    <w:p w:rsidR="00397377" w:rsidRPr="00A56446" w:rsidRDefault="00397377" w:rsidP="00BE2434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3E3117" w:rsidRPr="00A56446" w:rsidRDefault="003E3117" w:rsidP="00BE2434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Data mapping is a means of determining the information fl</w:t>
      </w:r>
      <w:r w:rsidR="00E57B8F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ow throughout an organisation.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Understanding the why, who, what, when and where of the information pathway will enable </w:t>
      </w:r>
      <w:r w:rsidR="006630C5">
        <w:rPr>
          <w:rFonts w:asciiTheme="minorHAnsi" w:hAnsiTheme="minorHAnsi" w:cs="Arial"/>
          <w:sz w:val="22"/>
          <w:szCs w:val="22"/>
          <w:lang w:val="en-US" w:eastAsia="en-US"/>
        </w:rPr>
        <w:t>Dr Johnston &amp; Partners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to undertake a thorough assessment of the risks associated with current data processes.</w:t>
      </w:r>
    </w:p>
    <w:p w:rsidR="003E3117" w:rsidRPr="00A56446" w:rsidRDefault="003E3117" w:rsidP="00BE2434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3E3117" w:rsidRPr="00A56446" w:rsidRDefault="003E3117" w:rsidP="00BE2434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Effective data mapping will identify wha</w:t>
      </w:r>
      <w:r w:rsidR="000D2BB3" w:rsidRPr="00A56446">
        <w:rPr>
          <w:rFonts w:asciiTheme="minorHAnsi" w:hAnsiTheme="minorHAnsi" w:cs="Arial"/>
          <w:sz w:val="22"/>
          <w:szCs w:val="22"/>
          <w:lang w:val="en-US" w:eastAsia="en-US"/>
        </w:rPr>
        <w:t>t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data is being processed, the format of the data, how it is being transferred, if the data is being shared</w:t>
      </w:r>
      <w:r w:rsidR="00E57B8F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, and where it is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store</w:t>
      </w:r>
      <w:r w:rsidR="00E57B8F" w:rsidRPr="00A56446">
        <w:rPr>
          <w:rFonts w:asciiTheme="minorHAnsi" w:hAnsiTheme="minorHAnsi" w:cs="Arial"/>
          <w:sz w:val="22"/>
          <w:szCs w:val="22"/>
          <w:lang w:val="en-US" w:eastAsia="en-US"/>
        </w:rPr>
        <w:t>d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(including off-site </w:t>
      </w:r>
      <w:r w:rsidRPr="00330B18">
        <w:rPr>
          <w:rFonts w:asciiTheme="minorHAnsi" w:hAnsiTheme="minorHAnsi" w:cs="Arial"/>
          <w:sz w:val="22"/>
          <w:szCs w:val="22"/>
          <w:lang w:val="en-US" w:eastAsia="en-US"/>
        </w:rPr>
        <w:t>storage if applicable).</w:t>
      </w:r>
    </w:p>
    <w:p w:rsidR="00BE2434" w:rsidRPr="00A56446" w:rsidRDefault="00BE2434" w:rsidP="00BE2434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B337C9" w:rsidRPr="00A56446" w:rsidRDefault="003E3117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Annex A details the process of data mapping at </w:t>
      </w:r>
      <w:r w:rsidR="006630C5">
        <w:rPr>
          <w:rFonts w:asciiTheme="minorHAnsi" w:hAnsiTheme="minorHAnsi" w:cs="Arial"/>
          <w:sz w:val="22"/>
          <w:szCs w:val="22"/>
          <w:lang w:val="en-US"/>
        </w:rPr>
        <w:t>Dr Johnston &amp; Partners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.  </w:t>
      </w:r>
    </w:p>
    <w:p w:rsidR="000D2BB3" w:rsidRPr="00A56446" w:rsidRDefault="00E57B8F" w:rsidP="000D2BB3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49" w:name="_Toc505696920"/>
      <w:r w:rsidRPr="00A56446">
        <w:rPr>
          <w:rFonts w:asciiTheme="minorHAnsi" w:hAnsiTheme="minorHAnsi" w:cs="Arial"/>
          <w:smallCaps w:val="0"/>
          <w:sz w:val="24"/>
          <w:szCs w:val="24"/>
        </w:rPr>
        <w:t>Data mapping and the Data Protection Impact A</w:t>
      </w:r>
      <w:r w:rsidR="000D2BB3" w:rsidRPr="00A56446">
        <w:rPr>
          <w:rFonts w:asciiTheme="minorHAnsi" w:hAnsiTheme="minorHAnsi" w:cs="Arial"/>
          <w:smallCaps w:val="0"/>
          <w:sz w:val="24"/>
          <w:szCs w:val="24"/>
        </w:rPr>
        <w:t>ssessment</w:t>
      </w:r>
      <w:bookmarkEnd w:id="49"/>
    </w:p>
    <w:p w:rsidR="00B337C9" w:rsidRPr="00A56446" w:rsidRDefault="00B337C9" w:rsidP="00E2519D">
      <w:pPr>
        <w:rPr>
          <w:rFonts w:asciiTheme="minorHAnsi" w:hAnsiTheme="minorHAnsi" w:cs="Arial"/>
          <w:lang w:val="en-US"/>
        </w:rPr>
      </w:pPr>
    </w:p>
    <w:p w:rsidR="00B337C9" w:rsidRPr="00A56446" w:rsidRDefault="000D2BB3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lastRenderedPageBreak/>
        <w:t>Data mapping i</w:t>
      </w:r>
      <w:r w:rsidR="00820D27" w:rsidRPr="00A56446">
        <w:rPr>
          <w:rFonts w:asciiTheme="minorHAnsi" w:hAnsiTheme="minorHAnsi" w:cs="Arial"/>
          <w:sz w:val="22"/>
          <w:szCs w:val="22"/>
          <w:lang w:val="en-US"/>
        </w:rPr>
        <w:t xml:space="preserve">s linked to the Data Protection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Impact Assessment (DPIA)</w:t>
      </w:r>
      <w:r w:rsidR="00820D27" w:rsidRPr="00A56446">
        <w:rPr>
          <w:rFonts w:asciiTheme="minorHAnsi" w:hAnsiTheme="minorHAnsi" w:cs="Arial"/>
          <w:sz w:val="22"/>
          <w:szCs w:val="22"/>
          <w:lang w:val="en-US"/>
        </w:rPr>
        <w:t>,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and when the risk analysis element of the DPIA process is undertaken, the information ascertained during the mapping process can be used.</w:t>
      </w:r>
    </w:p>
    <w:p w:rsidR="000D2BB3" w:rsidRPr="00A56446" w:rsidRDefault="000D2BB3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:rsidR="000D2BB3" w:rsidRPr="00A56446" w:rsidRDefault="000D2BB3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Data m</w:t>
      </w:r>
      <w:r w:rsidR="00820D27" w:rsidRPr="00A56446">
        <w:rPr>
          <w:rFonts w:asciiTheme="minorHAnsi" w:hAnsiTheme="minorHAnsi" w:cs="Arial"/>
          <w:sz w:val="22"/>
          <w:szCs w:val="22"/>
          <w:lang w:val="en-US"/>
        </w:rPr>
        <w:t>apping is not a one-person task;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all staff at </w:t>
      </w:r>
      <w:r w:rsidR="006630C5">
        <w:rPr>
          <w:rFonts w:asciiTheme="minorHAnsi" w:hAnsiTheme="minorHAnsi" w:cs="Arial"/>
          <w:sz w:val="22"/>
          <w:szCs w:val="22"/>
          <w:lang w:val="en-US"/>
        </w:rPr>
        <w:t>Dr Johnston &amp; Partners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will be </w:t>
      </w:r>
      <w:r w:rsidR="00820D27" w:rsidRPr="00A56446">
        <w:rPr>
          <w:rFonts w:asciiTheme="minorHAnsi" w:hAnsiTheme="minorHAnsi" w:cs="Arial"/>
          <w:sz w:val="22"/>
          <w:szCs w:val="22"/>
          <w:lang w:val="en-US"/>
        </w:rPr>
        <w:t>involved in the mapping process,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thus enabling the wider gathering of accurate information.  </w:t>
      </w:r>
    </w:p>
    <w:p w:rsidR="000B3712" w:rsidRPr="00A56446" w:rsidRDefault="00820D27" w:rsidP="000B3712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50" w:name="_Toc505696921"/>
      <w:r w:rsidRPr="00A56446">
        <w:rPr>
          <w:rFonts w:asciiTheme="minorHAnsi" w:hAnsiTheme="minorHAnsi" w:cs="Arial"/>
          <w:smallCaps w:val="0"/>
          <w:sz w:val="24"/>
          <w:szCs w:val="24"/>
        </w:rPr>
        <w:t>Data Protection Impact A</w:t>
      </w:r>
      <w:r w:rsidR="000B3712" w:rsidRPr="00A56446">
        <w:rPr>
          <w:rFonts w:asciiTheme="minorHAnsi" w:hAnsiTheme="minorHAnsi" w:cs="Arial"/>
          <w:smallCaps w:val="0"/>
          <w:sz w:val="24"/>
          <w:szCs w:val="24"/>
        </w:rPr>
        <w:t>ssessment</w:t>
      </w:r>
      <w:bookmarkEnd w:id="50"/>
    </w:p>
    <w:p w:rsidR="000B3712" w:rsidRPr="00A56446" w:rsidRDefault="000B3712" w:rsidP="000B3712">
      <w:pPr>
        <w:rPr>
          <w:rFonts w:asciiTheme="minorHAnsi" w:hAnsiTheme="minorHAnsi"/>
          <w:lang w:val="en-US" w:eastAsia="en-US"/>
        </w:rPr>
      </w:pPr>
    </w:p>
    <w:p w:rsidR="000B3712" w:rsidRPr="00A56446" w:rsidRDefault="000B3712" w:rsidP="000B3712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The DPIA is the most efficient way for </w:t>
      </w:r>
      <w:r w:rsidR="006630C5">
        <w:rPr>
          <w:rFonts w:asciiTheme="minorHAnsi" w:hAnsiTheme="minorHAnsi" w:cs="Arial"/>
          <w:sz w:val="22"/>
          <w:szCs w:val="22"/>
          <w:lang w:val="en-US" w:eastAsia="en-US"/>
        </w:rPr>
        <w:t>Dr Johnston &amp; Partners</w:t>
      </w:r>
      <w:r w:rsidR="00820D27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to meet its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data p</w:t>
      </w:r>
      <w:r w:rsidR="00820D27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rotection obligations and the expectations of its data subjects.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DPIA</w:t>
      </w:r>
      <w:r w:rsidR="00820D27" w:rsidRPr="00A56446">
        <w:rPr>
          <w:rFonts w:asciiTheme="minorHAnsi" w:hAnsiTheme="minorHAnsi" w:cs="Arial"/>
          <w:sz w:val="22"/>
          <w:szCs w:val="22"/>
          <w:lang w:val="en-US" w:eastAsia="en-US"/>
        </w:rPr>
        <w:t>s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ar</w:t>
      </w:r>
      <w:r w:rsidR="00820D27" w:rsidRPr="00A56446">
        <w:rPr>
          <w:rFonts w:asciiTheme="minorHAnsi" w:hAnsiTheme="minorHAnsi" w:cs="Arial"/>
          <w:sz w:val="22"/>
          <w:szCs w:val="22"/>
          <w:lang w:val="en-US" w:eastAsia="en-US"/>
        </w:rPr>
        <w:t>e also commonly referred to as Privacy Impact A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ssessments or PIAs.</w:t>
      </w:r>
    </w:p>
    <w:p w:rsidR="000B3712" w:rsidRPr="00A56446" w:rsidRDefault="000B3712" w:rsidP="000B3712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0B3712" w:rsidRPr="00A56446" w:rsidRDefault="000B3712" w:rsidP="000B3712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In accordance with </w:t>
      </w:r>
      <w:hyperlink r:id="rId12" w:history="1">
        <w:r w:rsidRPr="00A56446">
          <w:rPr>
            <w:rStyle w:val="Hyperlink"/>
            <w:rFonts w:asciiTheme="minorHAnsi" w:hAnsiTheme="minorHAnsi" w:cs="Arial"/>
            <w:sz w:val="22"/>
            <w:szCs w:val="22"/>
            <w:lang w:val="en-US" w:eastAsia="en-US"/>
          </w:rPr>
          <w:t>Article 35</w:t>
        </w:r>
      </w:hyperlink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of the GDPR, DPIA should be undertaken</w:t>
      </w:r>
      <w:r w:rsidR="00042369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where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:</w:t>
      </w:r>
    </w:p>
    <w:p w:rsidR="000B3712" w:rsidRPr="00A56446" w:rsidRDefault="000B3712" w:rsidP="000B3712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0B3712" w:rsidRPr="00A56446" w:rsidRDefault="00042369" w:rsidP="000B3712">
      <w:pPr>
        <w:numPr>
          <w:ilvl w:val="0"/>
          <w:numId w:val="14"/>
        </w:numPr>
        <w:spacing w:before="240" w:after="240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A56446">
        <w:rPr>
          <w:rFonts w:asciiTheme="minorHAnsi" w:hAnsiTheme="minorHAnsi" w:cs="Arial"/>
          <w:color w:val="333333"/>
          <w:sz w:val="22"/>
          <w:szCs w:val="22"/>
        </w:rPr>
        <w:t>A</w:t>
      </w:r>
      <w:r w:rsidR="000B3712" w:rsidRPr="00A56446">
        <w:rPr>
          <w:rFonts w:asciiTheme="minorHAnsi" w:hAnsiTheme="minorHAnsi" w:cs="Arial"/>
          <w:color w:val="333333"/>
          <w:sz w:val="22"/>
          <w:szCs w:val="22"/>
        </w:rPr>
        <w:t xml:space="preserve"> type of processing</w:t>
      </w:r>
      <w:r w:rsidR="00820D27" w:rsidRPr="00A56446">
        <w:rPr>
          <w:rFonts w:asciiTheme="minorHAnsi" w:hAnsiTheme="minorHAnsi" w:cs="Arial"/>
          <w:color w:val="333333"/>
          <w:sz w:val="22"/>
          <w:szCs w:val="22"/>
        </w:rPr>
        <w:t>,</w:t>
      </w:r>
      <w:r w:rsidR="000B3712" w:rsidRPr="00A56446">
        <w:rPr>
          <w:rFonts w:asciiTheme="minorHAnsi" w:hAnsiTheme="minorHAnsi" w:cs="Arial"/>
          <w:color w:val="333333"/>
          <w:sz w:val="22"/>
          <w:szCs w:val="22"/>
        </w:rPr>
        <w:t xml:space="preserve"> in particular using new technologies, and taking into account the nature, scope, context and purposes of the processing, is likely to result in a high risk to the rights </w:t>
      </w:r>
      <w:r w:rsidR="00820D27" w:rsidRPr="00A56446">
        <w:rPr>
          <w:rFonts w:asciiTheme="minorHAnsi" w:hAnsiTheme="minorHAnsi" w:cs="Arial"/>
          <w:color w:val="333333"/>
          <w:sz w:val="22"/>
          <w:szCs w:val="22"/>
        </w:rPr>
        <w:t>and freedoms of natural persons; then</w:t>
      </w:r>
      <w:r w:rsidR="000B3712" w:rsidRPr="00A56446">
        <w:rPr>
          <w:rFonts w:asciiTheme="minorHAnsi" w:hAnsiTheme="minorHAnsi" w:cs="Arial"/>
          <w:color w:val="333333"/>
          <w:sz w:val="22"/>
          <w:szCs w:val="22"/>
        </w:rPr>
        <w:t xml:space="preserve"> the controller shall, prior to the processing, carry out an assessment of the impact of the envisaged processing operations on the protection of personal data. A single assessment may address a set of similar processing operations that present similar high risks</w:t>
      </w:r>
      <w:r w:rsidR="00302B80" w:rsidRPr="00A56446">
        <w:rPr>
          <w:rFonts w:asciiTheme="minorHAnsi" w:hAnsiTheme="minorHAnsi" w:cs="Arial"/>
          <w:color w:val="333333"/>
          <w:sz w:val="22"/>
          <w:szCs w:val="22"/>
        </w:rPr>
        <w:t>.</w:t>
      </w:r>
    </w:p>
    <w:p w:rsidR="00042369" w:rsidRPr="00A56446" w:rsidRDefault="00042369" w:rsidP="000B3712">
      <w:pPr>
        <w:numPr>
          <w:ilvl w:val="0"/>
          <w:numId w:val="14"/>
        </w:numPr>
        <w:spacing w:before="240" w:after="240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A56446">
        <w:rPr>
          <w:rFonts w:asciiTheme="minorHAnsi" w:hAnsiTheme="minorHAnsi" w:cs="Arial"/>
          <w:color w:val="333333"/>
          <w:sz w:val="22"/>
          <w:szCs w:val="22"/>
        </w:rPr>
        <w:t>Extensive processing activities are undertaken, including large-s</w:t>
      </w:r>
      <w:r w:rsidR="00820D27" w:rsidRPr="00A56446">
        <w:rPr>
          <w:rFonts w:asciiTheme="minorHAnsi" w:hAnsiTheme="minorHAnsi" w:cs="Arial"/>
          <w:color w:val="333333"/>
          <w:sz w:val="22"/>
          <w:szCs w:val="22"/>
        </w:rPr>
        <w:t>cale processing of personal and/</w:t>
      </w:r>
      <w:r w:rsidRPr="00A56446">
        <w:rPr>
          <w:rFonts w:asciiTheme="minorHAnsi" w:hAnsiTheme="minorHAnsi" w:cs="Arial"/>
          <w:color w:val="333333"/>
          <w:sz w:val="22"/>
          <w:szCs w:val="22"/>
        </w:rPr>
        <w:t>or special data</w:t>
      </w:r>
    </w:p>
    <w:p w:rsidR="00042369" w:rsidRPr="00A56446" w:rsidRDefault="00042369" w:rsidP="00042369">
      <w:pPr>
        <w:spacing w:before="240" w:after="240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A56446">
        <w:rPr>
          <w:rFonts w:asciiTheme="minorHAnsi" w:hAnsiTheme="minorHAnsi" w:cs="Arial"/>
          <w:color w:val="333333"/>
          <w:sz w:val="22"/>
          <w:szCs w:val="22"/>
        </w:rPr>
        <w:t>DPIAs are to include the following:</w:t>
      </w:r>
    </w:p>
    <w:p w:rsidR="00042369" w:rsidRPr="00A56446" w:rsidRDefault="00042369" w:rsidP="00042369">
      <w:pPr>
        <w:pStyle w:val="ListParagraph"/>
        <w:numPr>
          <w:ilvl w:val="0"/>
          <w:numId w:val="16"/>
        </w:numPr>
        <w:spacing w:before="240" w:after="240"/>
        <w:textAlignment w:val="baseline"/>
        <w:rPr>
          <w:rFonts w:cs="Arial"/>
          <w:color w:val="333333"/>
        </w:rPr>
      </w:pPr>
      <w:r w:rsidRPr="00A56446">
        <w:rPr>
          <w:rFonts w:cs="Arial"/>
          <w:color w:val="333333"/>
        </w:rPr>
        <w:t>A description of the process, including the purpose</w:t>
      </w:r>
    </w:p>
    <w:p w:rsidR="00042369" w:rsidRPr="00A56446" w:rsidRDefault="00820D27" w:rsidP="00042369">
      <w:pPr>
        <w:pStyle w:val="ListParagraph"/>
        <w:numPr>
          <w:ilvl w:val="0"/>
          <w:numId w:val="16"/>
        </w:numPr>
        <w:spacing w:before="240" w:after="240"/>
        <w:textAlignment w:val="baseline"/>
        <w:rPr>
          <w:rFonts w:cs="Arial"/>
          <w:color w:val="333333"/>
        </w:rPr>
      </w:pPr>
      <w:r w:rsidRPr="00A56446">
        <w:rPr>
          <w:rFonts w:cs="Arial"/>
          <w:color w:val="333333"/>
        </w:rPr>
        <w:t>An evaluation of the need for</w:t>
      </w:r>
      <w:r w:rsidR="00042369" w:rsidRPr="00A56446">
        <w:rPr>
          <w:rFonts w:cs="Arial"/>
          <w:color w:val="333333"/>
        </w:rPr>
        <w:t xml:space="preserve"> the processing in relation to the purpose</w:t>
      </w:r>
    </w:p>
    <w:p w:rsidR="00042369" w:rsidRPr="00A56446" w:rsidRDefault="00042369" w:rsidP="00042369">
      <w:pPr>
        <w:pStyle w:val="ListParagraph"/>
        <w:numPr>
          <w:ilvl w:val="0"/>
          <w:numId w:val="16"/>
        </w:numPr>
        <w:spacing w:before="240" w:after="240"/>
        <w:textAlignment w:val="baseline"/>
        <w:rPr>
          <w:rFonts w:cs="Arial"/>
          <w:color w:val="333333"/>
        </w:rPr>
      </w:pPr>
      <w:r w:rsidRPr="00A56446">
        <w:rPr>
          <w:rFonts w:cs="Arial"/>
          <w:color w:val="333333"/>
        </w:rPr>
        <w:t>An assessment of the associated risks to the data subjects</w:t>
      </w:r>
    </w:p>
    <w:p w:rsidR="00042369" w:rsidRPr="00A56446" w:rsidRDefault="00042369" w:rsidP="00042369">
      <w:pPr>
        <w:pStyle w:val="ListParagraph"/>
        <w:numPr>
          <w:ilvl w:val="0"/>
          <w:numId w:val="16"/>
        </w:numPr>
        <w:spacing w:before="240" w:after="240"/>
        <w:textAlignment w:val="baseline"/>
        <w:rPr>
          <w:rFonts w:cs="Arial"/>
          <w:color w:val="333333"/>
        </w:rPr>
      </w:pPr>
      <w:r w:rsidRPr="00A56446">
        <w:rPr>
          <w:rFonts w:cs="Arial"/>
          <w:color w:val="333333"/>
        </w:rPr>
        <w:t>Existing measures to mitigate and control the risk(s)</w:t>
      </w:r>
    </w:p>
    <w:p w:rsidR="00042369" w:rsidRPr="00A56446" w:rsidRDefault="00042369" w:rsidP="00042369">
      <w:pPr>
        <w:pStyle w:val="ListParagraph"/>
        <w:numPr>
          <w:ilvl w:val="0"/>
          <w:numId w:val="16"/>
        </w:numPr>
        <w:spacing w:before="240" w:after="240"/>
        <w:textAlignment w:val="baseline"/>
        <w:rPr>
          <w:rFonts w:cs="Arial"/>
          <w:color w:val="333333"/>
        </w:rPr>
      </w:pPr>
      <w:r w:rsidRPr="00A56446">
        <w:rPr>
          <w:rFonts w:cs="Arial"/>
          <w:color w:val="333333"/>
        </w:rPr>
        <w:t>Evidence of compliance in relation to risk control</w:t>
      </w:r>
    </w:p>
    <w:p w:rsidR="00760025" w:rsidRPr="00A56446" w:rsidRDefault="00760025" w:rsidP="00760025">
      <w:pPr>
        <w:spacing w:before="240" w:after="240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A56446">
        <w:rPr>
          <w:rFonts w:asciiTheme="minorHAnsi" w:hAnsiTheme="minorHAnsi" w:cs="Arial"/>
          <w:color w:val="333333"/>
          <w:sz w:val="22"/>
          <w:szCs w:val="22"/>
        </w:rPr>
        <w:t xml:space="preserve">It is considered best practice to undertake DPIAs for </w:t>
      </w:r>
      <w:r w:rsidR="00455E3B" w:rsidRPr="00A56446">
        <w:rPr>
          <w:rFonts w:asciiTheme="minorHAnsi" w:hAnsiTheme="minorHAnsi" w:cs="Arial"/>
          <w:color w:val="333333"/>
          <w:sz w:val="22"/>
          <w:szCs w:val="22"/>
        </w:rPr>
        <w:t>existing</w:t>
      </w:r>
      <w:r w:rsidRPr="00A56446">
        <w:rPr>
          <w:rFonts w:asciiTheme="minorHAnsi" w:hAnsiTheme="minorHAnsi" w:cs="Arial"/>
          <w:color w:val="333333"/>
          <w:sz w:val="22"/>
          <w:szCs w:val="22"/>
        </w:rPr>
        <w:t xml:space="preserve"> processing procedures to ensure</w:t>
      </w:r>
      <w:r w:rsidR="00820D27" w:rsidRPr="00A56446">
        <w:rPr>
          <w:rFonts w:asciiTheme="minorHAnsi" w:hAnsiTheme="minorHAnsi" w:cs="Arial"/>
          <w:color w:val="333333"/>
          <w:sz w:val="22"/>
          <w:szCs w:val="22"/>
        </w:rPr>
        <w:t xml:space="preserve"> that</w:t>
      </w:r>
      <w:r w:rsidR="006630C5">
        <w:rPr>
          <w:rFonts w:asciiTheme="minorHAnsi" w:hAnsiTheme="minorHAnsi" w:cs="Arial"/>
          <w:color w:val="333333"/>
          <w:sz w:val="22"/>
          <w:szCs w:val="22"/>
        </w:rPr>
        <w:t>Dr Johnston &amp; Partners</w:t>
      </w:r>
      <w:r w:rsidRPr="00A56446">
        <w:rPr>
          <w:rFonts w:asciiTheme="minorHAnsi" w:hAnsiTheme="minorHAnsi" w:cs="Arial"/>
          <w:color w:val="333333"/>
          <w:sz w:val="22"/>
          <w:szCs w:val="22"/>
        </w:rPr>
        <w:t xml:space="preserve"> meets it</w:t>
      </w:r>
      <w:r w:rsidR="00820D27" w:rsidRPr="00A56446">
        <w:rPr>
          <w:rFonts w:asciiTheme="minorHAnsi" w:hAnsiTheme="minorHAnsi" w:cs="Arial"/>
          <w:color w:val="333333"/>
          <w:sz w:val="22"/>
          <w:szCs w:val="22"/>
        </w:rPr>
        <w:t>s data protection obligations. DPIAs</w:t>
      </w:r>
      <w:r w:rsidR="007A445A" w:rsidRPr="00A56446">
        <w:rPr>
          <w:rFonts w:asciiTheme="minorHAnsi" w:hAnsiTheme="minorHAnsi" w:cs="Arial"/>
          <w:color w:val="333333"/>
          <w:sz w:val="22"/>
          <w:szCs w:val="22"/>
        </w:rPr>
        <w:t xml:space="preserve"> are classed as </w:t>
      </w:r>
      <w:r w:rsidR="00820D27" w:rsidRPr="00A56446">
        <w:rPr>
          <w:rFonts w:asciiTheme="minorHAnsi" w:hAnsiTheme="minorHAnsi" w:cs="Arial"/>
          <w:color w:val="333333"/>
          <w:sz w:val="22"/>
          <w:szCs w:val="22"/>
        </w:rPr>
        <w:t>“live document</w:t>
      </w:r>
      <w:r w:rsidR="007A445A" w:rsidRPr="00A56446">
        <w:rPr>
          <w:rFonts w:asciiTheme="minorHAnsi" w:hAnsiTheme="minorHAnsi" w:cs="Arial"/>
          <w:color w:val="333333"/>
          <w:sz w:val="22"/>
          <w:szCs w:val="22"/>
        </w:rPr>
        <w:t>s</w:t>
      </w:r>
      <w:r w:rsidR="00820D27" w:rsidRPr="00A56446">
        <w:rPr>
          <w:rFonts w:asciiTheme="minorHAnsi" w:hAnsiTheme="minorHAnsi" w:cs="Arial"/>
          <w:color w:val="333333"/>
          <w:sz w:val="22"/>
          <w:szCs w:val="22"/>
        </w:rPr>
        <w:t>”</w:t>
      </w:r>
      <w:r w:rsidRPr="00A56446">
        <w:rPr>
          <w:rFonts w:asciiTheme="minorHAnsi" w:hAnsiTheme="minorHAnsi" w:cs="Arial"/>
          <w:color w:val="333333"/>
          <w:sz w:val="22"/>
          <w:szCs w:val="22"/>
        </w:rPr>
        <w:t xml:space="preserve"> and processes should be reviewed continually.</w:t>
      </w:r>
      <w:r w:rsidR="00377FB9" w:rsidRPr="00A56446">
        <w:rPr>
          <w:rFonts w:asciiTheme="minorHAnsi" w:hAnsiTheme="minorHAnsi" w:cs="Arial"/>
          <w:color w:val="333333"/>
          <w:sz w:val="22"/>
          <w:szCs w:val="22"/>
        </w:rPr>
        <w:t>As a minimum, a DPIA should be reviewed every three years or whenever there is a change in a proc</w:t>
      </w:r>
      <w:r w:rsidR="007A445A" w:rsidRPr="00A56446">
        <w:rPr>
          <w:rFonts w:asciiTheme="minorHAnsi" w:hAnsiTheme="minorHAnsi" w:cs="Arial"/>
          <w:color w:val="333333"/>
          <w:sz w:val="22"/>
          <w:szCs w:val="22"/>
        </w:rPr>
        <w:t xml:space="preserve">ess that </w:t>
      </w:r>
      <w:r w:rsidR="00377FB9" w:rsidRPr="00A56446">
        <w:rPr>
          <w:rFonts w:asciiTheme="minorHAnsi" w:hAnsiTheme="minorHAnsi" w:cs="Arial"/>
          <w:color w:val="333333"/>
          <w:sz w:val="22"/>
          <w:szCs w:val="22"/>
        </w:rPr>
        <w:t xml:space="preserve">involves personal data.  </w:t>
      </w:r>
    </w:p>
    <w:p w:rsidR="00455E3B" w:rsidRPr="00A56446" w:rsidRDefault="00455E3B" w:rsidP="00455E3B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51" w:name="_Toc505696922"/>
      <w:r w:rsidRPr="00A56446">
        <w:rPr>
          <w:rFonts w:asciiTheme="minorHAnsi" w:hAnsiTheme="minorHAnsi" w:cs="Arial"/>
          <w:smallCaps w:val="0"/>
          <w:sz w:val="24"/>
          <w:szCs w:val="24"/>
        </w:rPr>
        <w:t>DPIA process</w:t>
      </w:r>
      <w:bookmarkEnd w:id="51"/>
    </w:p>
    <w:p w:rsidR="00455E3B" w:rsidRPr="00A56446" w:rsidRDefault="00455E3B" w:rsidP="00455E3B">
      <w:pPr>
        <w:rPr>
          <w:rFonts w:asciiTheme="minorHAnsi" w:hAnsiTheme="minorHAnsi"/>
          <w:lang w:val="en-US" w:eastAsia="en-US"/>
        </w:rPr>
      </w:pPr>
    </w:p>
    <w:p w:rsidR="00455E3B" w:rsidRPr="00A56446" w:rsidRDefault="00455E3B" w:rsidP="00455E3B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The DPIA process is formed of the following key stages:</w:t>
      </w:r>
    </w:p>
    <w:p w:rsidR="00455E3B" w:rsidRPr="00A56446" w:rsidRDefault="00455E3B" w:rsidP="00455E3B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455E3B" w:rsidRPr="00A56446" w:rsidRDefault="00455E3B" w:rsidP="00455E3B">
      <w:pPr>
        <w:pStyle w:val="ListParagraph"/>
        <w:numPr>
          <w:ilvl w:val="0"/>
          <w:numId w:val="1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Determining the need</w:t>
      </w:r>
    </w:p>
    <w:p w:rsidR="00455E3B" w:rsidRPr="00A56446" w:rsidRDefault="00455E3B" w:rsidP="00455E3B">
      <w:pPr>
        <w:pStyle w:val="ListParagraph"/>
        <w:numPr>
          <w:ilvl w:val="0"/>
          <w:numId w:val="1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Assessing the risks associated with the process</w:t>
      </w:r>
    </w:p>
    <w:p w:rsidR="00455E3B" w:rsidRPr="00A56446" w:rsidRDefault="00455E3B" w:rsidP="00455E3B">
      <w:pPr>
        <w:pStyle w:val="ListParagraph"/>
        <w:numPr>
          <w:ilvl w:val="0"/>
          <w:numId w:val="1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Identifying potential risks and feasible options to reduce the risk(s)</w:t>
      </w:r>
    </w:p>
    <w:p w:rsidR="00455E3B" w:rsidRPr="00A56446" w:rsidRDefault="00455E3B" w:rsidP="00455E3B">
      <w:pPr>
        <w:pStyle w:val="ListParagraph"/>
        <w:numPr>
          <w:ilvl w:val="0"/>
          <w:numId w:val="1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Recording the DPIA</w:t>
      </w:r>
    </w:p>
    <w:p w:rsidR="00455E3B" w:rsidRPr="00A56446" w:rsidRDefault="00455E3B" w:rsidP="00455E3B">
      <w:pPr>
        <w:pStyle w:val="ListParagraph"/>
        <w:numPr>
          <w:ilvl w:val="0"/>
          <w:numId w:val="1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Maintaining compliance and undertaking regular reviews</w:t>
      </w:r>
    </w:p>
    <w:p w:rsidR="00455E3B" w:rsidRPr="00A56446" w:rsidRDefault="00455E3B" w:rsidP="00455E3B">
      <w:pPr>
        <w:rPr>
          <w:rFonts w:asciiTheme="minorHAnsi" w:hAnsiTheme="minorHAnsi" w:cs="Arial"/>
          <w:lang w:val="en-US"/>
        </w:rPr>
      </w:pPr>
    </w:p>
    <w:p w:rsidR="00455E3B" w:rsidRPr="00A56446" w:rsidRDefault="00455E3B" w:rsidP="00455E3B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lastRenderedPageBreak/>
        <w:t>A</w:t>
      </w:r>
      <w:r w:rsidR="007A445A" w:rsidRPr="00A56446">
        <w:rPr>
          <w:rFonts w:asciiTheme="minorHAnsi" w:hAnsiTheme="minorHAnsi" w:cs="Arial"/>
          <w:sz w:val="22"/>
          <w:szCs w:val="22"/>
          <w:lang w:val="en-US"/>
        </w:rPr>
        <w:t>nnex B provides a template that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is to be used to carry out a DPIA at </w:t>
      </w:r>
      <w:r w:rsidR="006630C5">
        <w:rPr>
          <w:rFonts w:asciiTheme="minorHAnsi" w:hAnsiTheme="minorHAnsi" w:cs="Arial"/>
          <w:sz w:val="22"/>
          <w:szCs w:val="22"/>
          <w:lang w:val="en-US"/>
        </w:rPr>
        <w:t>Dr Johnston &amp; Partners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. </w:t>
      </w:r>
    </w:p>
    <w:p w:rsidR="00455E3B" w:rsidRPr="00A56446" w:rsidRDefault="00455E3B" w:rsidP="00455E3B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52" w:name="_Toc505696923"/>
      <w:r w:rsidRPr="00A56446">
        <w:rPr>
          <w:rFonts w:asciiTheme="minorHAnsi" w:hAnsiTheme="minorHAnsi"/>
          <w:sz w:val="28"/>
          <w:szCs w:val="28"/>
        </w:rPr>
        <w:t>Summary</w:t>
      </w:r>
      <w:bookmarkEnd w:id="52"/>
    </w:p>
    <w:p w:rsidR="00455E3B" w:rsidRPr="00A56446" w:rsidRDefault="00455E3B" w:rsidP="00455E3B">
      <w:pPr>
        <w:rPr>
          <w:rFonts w:asciiTheme="minorHAnsi" w:hAnsiTheme="minorHAnsi"/>
          <w:lang w:val="en-US" w:eastAsia="en-US"/>
        </w:rPr>
      </w:pPr>
    </w:p>
    <w:p w:rsidR="00455E3B" w:rsidRPr="00A56446" w:rsidRDefault="00D1420B" w:rsidP="00455E3B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Given the complexity of the GDPR, all staff at </w:t>
      </w:r>
      <w:r w:rsidR="006630C5">
        <w:rPr>
          <w:rFonts w:asciiTheme="minorHAnsi" w:hAnsiTheme="minorHAnsi" w:cs="Arial"/>
          <w:sz w:val="22"/>
          <w:szCs w:val="22"/>
          <w:lang w:val="en-US" w:eastAsia="en-US"/>
        </w:rPr>
        <w:t>Dr Johnston &amp; Partners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must ensure they fully understand the requirements within the Regulation, which become enforcea</w:t>
      </w:r>
      <w:r w:rsidR="007A445A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ble by law with effect from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25</w:t>
      </w:r>
      <w:r w:rsidRPr="00A56446">
        <w:rPr>
          <w:rFonts w:asciiTheme="minorHAnsi" w:hAnsiTheme="minorHAnsi" w:cs="Arial"/>
          <w:sz w:val="22"/>
          <w:szCs w:val="22"/>
          <w:vertAlign w:val="superscript"/>
          <w:lang w:val="en-US" w:eastAsia="en-US"/>
        </w:rPr>
        <w:t>th</w:t>
      </w:r>
      <w:r w:rsidR="007A445A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May 2018.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Understanding the changes required will ensure that personal data at </w:t>
      </w:r>
      <w:r w:rsidR="006630C5">
        <w:rPr>
          <w:rFonts w:asciiTheme="minorHAnsi" w:hAnsiTheme="minorHAnsi" w:cs="Arial"/>
          <w:sz w:val="22"/>
          <w:szCs w:val="22"/>
          <w:lang w:val="en-US" w:eastAsia="en-US"/>
        </w:rPr>
        <w:t>Dr Johnston &amp; Partners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remains protected and the processes associated with this data are effective and correct.</w:t>
      </w:r>
    </w:p>
    <w:p w:rsidR="00D1420B" w:rsidRPr="00A56446" w:rsidRDefault="00D1420B" w:rsidP="00455E3B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D1420B" w:rsidRPr="00A56446" w:rsidRDefault="00D1420B" w:rsidP="00455E3B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Regular updates to this policy will be applied when further information and</w:t>
      </w:r>
      <w:r w:rsidR="007A445A" w:rsidRPr="00A56446">
        <w:rPr>
          <w:rFonts w:asciiTheme="minorHAnsi" w:hAnsiTheme="minorHAnsi" w:cs="Arial"/>
          <w:sz w:val="22"/>
          <w:szCs w:val="22"/>
          <w:lang w:val="en-US" w:eastAsia="en-US"/>
        </w:rPr>
        <w:t>/or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direction is received.  </w:t>
      </w:r>
    </w:p>
    <w:p w:rsidR="00CE4FF9" w:rsidRPr="00A56446" w:rsidRDefault="00CE4FF9" w:rsidP="00E2519D">
      <w:pPr>
        <w:rPr>
          <w:rFonts w:asciiTheme="minorHAnsi" w:hAnsiTheme="minorHAnsi" w:cs="Arial"/>
          <w:lang w:val="en-US"/>
        </w:rPr>
      </w:pPr>
    </w:p>
    <w:p w:rsidR="009D5CCB" w:rsidRPr="00A56446" w:rsidRDefault="009D5CCB" w:rsidP="009D5CCB">
      <w:pPr>
        <w:rPr>
          <w:rFonts w:asciiTheme="minorHAnsi" w:hAnsiTheme="minorHAnsi"/>
        </w:rPr>
      </w:pPr>
    </w:p>
    <w:p w:rsidR="009D5CCB" w:rsidRPr="00A56446" w:rsidRDefault="009D5CCB" w:rsidP="009D5CCB">
      <w:pPr>
        <w:rPr>
          <w:rFonts w:asciiTheme="minorHAnsi" w:hAnsiTheme="minorHAnsi"/>
        </w:rPr>
      </w:pPr>
      <w:bookmarkStart w:id="53" w:name="_GoBack"/>
      <w:bookmarkEnd w:id="53"/>
    </w:p>
    <w:p w:rsidR="00506F29" w:rsidRPr="00A56446" w:rsidRDefault="00506F29" w:rsidP="00302B80">
      <w:pPr>
        <w:rPr>
          <w:rFonts w:asciiTheme="minorHAnsi" w:hAnsiTheme="minorHAnsi"/>
        </w:rPr>
      </w:pPr>
    </w:p>
    <w:p w:rsidR="00302B80" w:rsidRPr="00A56446" w:rsidRDefault="00302B80" w:rsidP="00302B80">
      <w:pPr>
        <w:rPr>
          <w:rFonts w:asciiTheme="minorHAnsi" w:hAnsiTheme="minorHAnsi"/>
        </w:rPr>
      </w:pPr>
    </w:p>
    <w:p w:rsidR="00302B80" w:rsidRPr="00A56446" w:rsidRDefault="00302B80" w:rsidP="00302B80">
      <w:pPr>
        <w:rPr>
          <w:rFonts w:asciiTheme="minorHAnsi" w:hAnsiTheme="minorHAnsi"/>
        </w:rPr>
      </w:pPr>
    </w:p>
    <w:p w:rsidR="00302B80" w:rsidRPr="00A56446" w:rsidRDefault="00302B80" w:rsidP="00302B80">
      <w:pPr>
        <w:rPr>
          <w:rFonts w:asciiTheme="minorHAnsi" w:hAnsiTheme="minorHAnsi"/>
        </w:rPr>
      </w:pPr>
    </w:p>
    <w:p w:rsidR="00302B80" w:rsidRPr="00A56446" w:rsidRDefault="00302B80" w:rsidP="00302B80">
      <w:pPr>
        <w:rPr>
          <w:rFonts w:asciiTheme="minorHAnsi" w:hAnsiTheme="minorHAnsi"/>
        </w:rPr>
      </w:pPr>
    </w:p>
    <w:p w:rsidR="00302B80" w:rsidRPr="00A56446" w:rsidRDefault="00302B80" w:rsidP="00302B80">
      <w:pPr>
        <w:rPr>
          <w:rFonts w:asciiTheme="minorHAnsi" w:hAnsiTheme="minorHAnsi"/>
        </w:rPr>
      </w:pPr>
    </w:p>
    <w:p w:rsidR="00302B80" w:rsidRPr="00A56446" w:rsidRDefault="00302B80" w:rsidP="00302B80">
      <w:pPr>
        <w:rPr>
          <w:rFonts w:asciiTheme="minorHAnsi" w:hAnsiTheme="minorHAnsi"/>
        </w:rPr>
      </w:pPr>
    </w:p>
    <w:p w:rsidR="00302B80" w:rsidRDefault="00302B80" w:rsidP="00302B80">
      <w:pPr>
        <w:rPr>
          <w:rFonts w:asciiTheme="minorHAnsi" w:hAnsiTheme="minorHAnsi"/>
        </w:rPr>
      </w:pPr>
    </w:p>
    <w:p w:rsidR="00330B18" w:rsidRDefault="00330B18" w:rsidP="00302B80">
      <w:pPr>
        <w:rPr>
          <w:rFonts w:asciiTheme="minorHAnsi" w:hAnsiTheme="minorHAnsi"/>
        </w:rPr>
      </w:pPr>
    </w:p>
    <w:p w:rsidR="00330B18" w:rsidRDefault="00330B18" w:rsidP="00302B80">
      <w:pPr>
        <w:rPr>
          <w:rFonts w:asciiTheme="minorHAnsi" w:hAnsiTheme="minorHAnsi"/>
        </w:rPr>
      </w:pPr>
    </w:p>
    <w:p w:rsidR="00330B18" w:rsidRDefault="00330B18" w:rsidP="00302B80">
      <w:pPr>
        <w:rPr>
          <w:rFonts w:asciiTheme="minorHAnsi" w:hAnsiTheme="minorHAnsi"/>
        </w:rPr>
      </w:pPr>
    </w:p>
    <w:p w:rsidR="00330B18" w:rsidRDefault="00330B18" w:rsidP="00302B80">
      <w:pPr>
        <w:rPr>
          <w:rFonts w:asciiTheme="minorHAnsi" w:hAnsiTheme="minorHAnsi"/>
        </w:rPr>
      </w:pPr>
    </w:p>
    <w:p w:rsidR="00330B18" w:rsidRDefault="00330B18" w:rsidP="00302B80">
      <w:pPr>
        <w:rPr>
          <w:rFonts w:asciiTheme="minorHAnsi" w:hAnsiTheme="minorHAnsi"/>
        </w:rPr>
      </w:pPr>
    </w:p>
    <w:p w:rsidR="00330B18" w:rsidRDefault="00330B18" w:rsidP="00302B80">
      <w:pPr>
        <w:rPr>
          <w:rFonts w:asciiTheme="minorHAnsi" w:hAnsiTheme="minorHAnsi"/>
        </w:rPr>
      </w:pPr>
    </w:p>
    <w:p w:rsidR="00330B18" w:rsidRDefault="00330B18" w:rsidP="00302B80">
      <w:pPr>
        <w:rPr>
          <w:rFonts w:asciiTheme="minorHAnsi" w:hAnsiTheme="minorHAnsi"/>
        </w:rPr>
      </w:pPr>
    </w:p>
    <w:p w:rsidR="00330B18" w:rsidRDefault="00330B18" w:rsidP="00302B80">
      <w:pPr>
        <w:rPr>
          <w:rFonts w:asciiTheme="minorHAnsi" w:hAnsiTheme="minorHAnsi"/>
        </w:rPr>
      </w:pPr>
    </w:p>
    <w:p w:rsidR="00330B18" w:rsidRDefault="00330B18" w:rsidP="00302B80">
      <w:pPr>
        <w:rPr>
          <w:rFonts w:asciiTheme="minorHAnsi" w:hAnsiTheme="minorHAnsi"/>
        </w:rPr>
      </w:pPr>
    </w:p>
    <w:p w:rsidR="00330B18" w:rsidRDefault="00330B18" w:rsidP="00302B80">
      <w:pPr>
        <w:rPr>
          <w:rFonts w:asciiTheme="minorHAnsi" w:hAnsiTheme="minorHAnsi"/>
        </w:rPr>
      </w:pPr>
    </w:p>
    <w:p w:rsidR="00330B18" w:rsidRDefault="00330B18" w:rsidP="00302B80">
      <w:pPr>
        <w:rPr>
          <w:rFonts w:asciiTheme="minorHAnsi" w:hAnsiTheme="minorHAnsi"/>
        </w:rPr>
      </w:pPr>
    </w:p>
    <w:p w:rsidR="00330B18" w:rsidRDefault="00330B18" w:rsidP="00302B80">
      <w:pPr>
        <w:rPr>
          <w:rFonts w:asciiTheme="minorHAnsi" w:hAnsiTheme="minorHAnsi"/>
        </w:rPr>
      </w:pPr>
    </w:p>
    <w:p w:rsidR="00330B18" w:rsidRDefault="00330B18" w:rsidP="00302B80">
      <w:pPr>
        <w:rPr>
          <w:rFonts w:asciiTheme="minorHAnsi" w:hAnsiTheme="minorHAnsi"/>
        </w:rPr>
      </w:pPr>
    </w:p>
    <w:p w:rsidR="00330B18" w:rsidRDefault="00330B18" w:rsidP="00302B80">
      <w:pPr>
        <w:rPr>
          <w:rFonts w:asciiTheme="minorHAnsi" w:hAnsiTheme="minorHAnsi"/>
        </w:rPr>
      </w:pPr>
    </w:p>
    <w:p w:rsidR="00330B18" w:rsidRDefault="00330B18" w:rsidP="00302B80">
      <w:pPr>
        <w:rPr>
          <w:rFonts w:asciiTheme="minorHAnsi" w:hAnsiTheme="minorHAnsi"/>
        </w:rPr>
      </w:pPr>
    </w:p>
    <w:p w:rsidR="00330B18" w:rsidRDefault="00330B18" w:rsidP="00302B80">
      <w:pPr>
        <w:rPr>
          <w:rFonts w:asciiTheme="minorHAnsi" w:hAnsiTheme="minorHAnsi"/>
        </w:rPr>
      </w:pPr>
    </w:p>
    <w:p w:rsidR="00330B18" w:rsidRPr="00A56446" w:rsidRDefault="00330B18" w:rsidP="00302B80">
      <w:pPr>
        <w:rPr>
          <w:rFonts w:asciiTheme="minorHAnsi" w:hAnsiTheme="minorHAnsi"/>
        </w:rPr>
      </w:pPr>
    </w:p>
    <w:p w:rsidR="00302B80" w:rsidRPr="00A56446" w:rsidRDefault="00302B80" w:rsidP="00302B80">
      <w:pPr>
        <w:rPr>
          <w:rFonts w:asciiTheme="minorHAnsi" w:hAnsiTheme="minorHAnsi"/>
        </w:rPr>
      </w:pPr>
    </w:p>
    <w:p w:rsidR="00302B80" w:rsidRPr="00A56446" w:rsidRDefault="00302B80" w:rsidP="00302B80">
      <w:pPr>
        <w:rPr>
          <w:rFonts w:asciiTheme="minorHAnsi" w:hAnsiTheme="minorHAnsi"/>
        </w:rPr>
      </w:pPr>
    </w:p>
    <w:p w:rsidR="00302B80" w:rsidRPr="00A56446" w:rsidRDefault="00302B80" w:rsidP="00302B80">
      <w:pPr>
        <w:rPr>
          <w:rFonts w:asciiTheme="minorHAnsi" w:hAnsiTheme="minorHAnsi"/>
        </w:rPr>
      </w:pPr>
    </w:p>
    <w:sectPr w:rsidR="00302B80" w:rsidRPr="00A56446" w:rsidSect="0064450D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C40" w:rsidRDefault="00890C40" w:rsidP="00D85E4D">
      <w:r>
        <w:separator/>
      </w:r>
    </w:p>
  </w:endnote>
  <w:endnote w:type="continuationSeparator" w:id="1">
    <w:p w:rsidR="00890C40" w:rsidRDefault="00890C40" w:rsidP="00D85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C40" w:rsidRDefault="00890C40" w:rsidP="00D85E4D">
      <w:r>
        <w:separator/>
      </w:r>
    </w:p>
  </w:footnote>
  <w:footnote w:type="continuationSeparator" w:id="1">
    <w:p w:rsidR="00890C40" w:rsidRDefault="00890C40" w:rsidP="00D85E4D">
      <w:r>
        <w:continuationSeparator/>
      </w:r>
    </w:p>
  </w:footnote>
  <w:footnote w:id="2">
    <w:p w:rsidR="00DB00C7" w:rsidRDefault="00DB00C7">
      <w:pPr>
        <w:pStyle w:val="FootnoteText"/>
      </w:pPr>
      <w:r>
        <w:rPr>
          <w:rStyle w:val="FootnoteReference"/>
        </w:rPr>
        <w:footnoteRef/>
      </w:r>
      <w:hyperlink r:id="rId1" w:history="1">
        <w:r w:rsidRPr="00BA25E8">
          <w:rPr>
            <w:rStyle w:val="Hyperlink"/>
          </w:rPr>
          <w:t>NHS Digital GDPR guidance</w:t>
        </w:r>
      </w:hyperlink>
    </w:p>
  </w:footnote>
  <w:footnote w:id="3">
    <w:p w:rsidR="00DB00C7" w:rsidRDefault="00DB00C7">
      <w:pPr>
        <w:pStyle w:val="FootnoteText"/>
      </w:pPr>
      <w:r>
        <w:rPr>
          <w:rStyle w:val="FootnoteReference"/>
        </w:rPr>
        <w:footnoteRef/>
      </w:r>
      <w:hyperlink r:id="rId2" w:history="1">
        <w:r w:rsidRPr="00BA25E8">
          <w:rPr>
            <w:rStyle w:val="Hyperlink"/>
          </w:rPr>
          <w:t>EU GDPR overview</w:t>
        </w:r>
      </w:hyperlink>
    </w:p>
  </w:footnote>
  <w:footnote w:id="4">
    <w:p w:rsidR="00DB00C7" w:rsidRDefault="00DB00C7" w:rsidP="00E23FDB">
      <w:pPr>
        <w:pStyle w:val="FootnoteText"/>
      </w:pPr>
      <w:r>
        <w:rPr>
          <w:rStyle w:val="FootnoteReference"/>
        </w:rPr>
        <w:footnoteRef/>
      </w:r>
      <w:hyperlink r:id="rId3" w:history="1">
        <w:r w:rsidRPr="00AB1536">
          <w:rPr>
            <w:rStyle w:val="Hyperlink"/>
          </w:rPr>
          <w:t>IGA The General Data Protection Regulation What’s New</w:t>
        </w:r>
      </w:hyperlink>
    </w:p>
  </w:footnote>
  <w:footnote w:id="5">
    <w:p w:rsidR="00DB00C7" w:rsidRDefault="00DB00C7">
      <w:pPr>
        <w:pStyle w:val="FootnoteText"/>
      </w:pPr>
      <w:r>
        <w:rPr>
          <w:rStyle w:val="FootnoteReference"/>
        </w:rPr>
        <w:footnoteRef/>
      </w:r>
      <w:hyperlink r:id="rId4" w:history="1">
        <w:r w:rsidRPr="0020058A">
          <w:rPr>
            <w:rStyle w:val="Hyperlink"/>
          </w:rPr>
          <w:t>Article 5 GDPR Principles relating to processing of personal data</w:t>
        </w:r>
      </w:hyperlink>
    </w:p>
  </w:footnote>
  <w:footnote w:id="6">
    <w:p w:rsidR="00DB00C7" w:rsidRDefault="00DB00C7">
      <w:pPr>
        <w:pStyle w:val="FootnoteText"/>
      </w:pPr>
      <w:r>
        <w:rPr>
          <w:rStyle w:val="FootnoteReference"/>
        </w:rPr>
        <w:footnoteRef/>
      </w:r>
      <w:hyperlink r:id="rId5" w:history="1">
        <w:r w:rsidRPr="0020058A">
          <w:rPr>
            <w:rStyle w:val="Hyperlink"/>
          </w:rPr>
          <w:t>Article 6 Lawfulness of processing</w:t>
        </w:r>
      </w:hyperlink>
    </w:p>
  </w:footnote>
  <w:footnote w:id="7">
    <w:p w:rsidR="00DB00C7" w:rsidRDefault="00DB00C7">
      <w:pPr>
        <w:pStyle w:val="FootnoteText"/>
      </w:pPr>
      <w:r>
        <w:rPr>
          <w:rStyle w:val="FootnoteReference"/>
        </w:rPr>
        <w:footnoteRef/>
      </w:r>
      <w:hyperlink r:id="rId6" w:history="1">
        <w:r w:rsidRPr="003C4936">
          <w:rPr>
            <w:rStyle w:val="Hyperlink"/>
          </w:rPr>
          <w:t>ICO – Personal data breaches</w:t>
        </w:r>
      </w:hyperlink>
    </w:p>
  </w:footnote>
  <w:footnote w:id="8">
    <w:p w:rsidR="00DB00C7" w:rsidRDefault="00DB00C7">
      <w:pPr>
        <w:pStyle w:val="FootnoteText"/>
      </w:pPr>
      <w:r>
        <w:rPr>
          <w:rStyle w:val="FootnoteReference"/>
        </w:rPr>
        <w:footnoteRef/>
      </w:r>
      <w:hyperlink r:id="rId7" w:history="1">
        <w:r w:rsidRPr="00123E8D">
          <w:rPr>
            <w:rStyle w:val="Hyperlink"/>
          </w:rPr>
          <w:t>ICO Personal data breaches</w:t>
        </w:r>
      </w:hyperlink>
    </w:p>
  </w:footnote>
  <w:footnote w:id="9">
    <w:p w:rsidR="00DB00C7" w:rsidRDefault="00DB00C7" w:rsidP="00332780">
      <w:pPr>
        <w:pStyle w:val="FootnoteText"/>
      </w:pPr>
      <w:r>
        <w:rPr>
          <w:rStyle w:val="FootnoteReference"/>
        </w:rPr>
        <w:footnoteRef/>
      </w:r>
      <w:hyperlink r:id="rId8" w:history="1">
        <w:r w:rsidRPr="00332780">
          <w:rPr>
            <w:rStyle w:val="Hyperlink"/>
          </w:rPr>
          <w:t>ICO Consent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E23"/>
    <w:multiLevelType w:val="hybridMultilevel"/>
    <w:tmpl w:val="B6B2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48901B1"/>
    <w:multiLevelType w:val="hybridMultilevel"/>
    <w:tmpl w:val="34A8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43156"/>
    <w:multiLevelType w:val="hybridMultilevel"/>
    <w:tmpl w:val="777A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07399"/>
    <w:multiLevelType w:val="hybridMultilevel"/>
    <w:tmpl w:val="F762328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1D004AD7"/>
    <w:multiLevelType w:val="hybridMultilevel"/>
    <w:tmpl w:val="B37E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6761C"/>
    <w:multiLevelType w:val="hybridMultilevel"/>
    <w:tmpl w:val="F8E28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103A1"/>
    <w:multiLevelType w:val="hybridMultilevel"/>
    <w:tmpl w:val="CB6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A3426"/>
    <w:multiLevelType w:val="hybridMultilevel"/>
    <w:tmpl w:val="B56A1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801BF"/>
    <w:multiLevelType w:val="hybridMultilevel"/>
    <w:tmpl w:val="576E68E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3F9902EF"/>
    <w:multiLevelType w:val="hybridMultilevel"/>
    <w:tmpl w:val="620E3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7359D"/>
    <w:multiLevelType w:val="hybridMultilevel"/>
    <w:tmpl w:val="134C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C066F"/>
    <w:multiLevelType w:val="hybridMultilevel"/>
    <w:tmpl w:val="E92C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22EA3"/>
    <w:multiLevelType w:val="hybridMultilevel"/>
    <w:tmpl w:val="B936E6C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977612"/>
    <w:multiLevelType w:val="hybridMultilevel"/>
    <w:tmpl w:val="C3981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A4FF2"/>
    <w:multiLevelType w:val="hybridMultilevel"/>
    <w:tmpl w:val="989C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F2F78"/>
    <w:multiLevelType w:val="hybridMultilevel"/>
    <w:tmpl w:val="7090E3E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5AE72309"/>
    <w:multiLevelType w:val="hybridMultilevel"/>
    <w:tmpl w:val="A70C0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F2985"/>
    <w:multiLevelType w:val="hybridMultilevel"/>
    <w:tmpl w:val="0342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5709E"/>
    <w:multiLevelType w:val="hybridMultilevel"/>
    <w:tmpl w:val="5374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C724EB"/>
    <w:multiLevelType w:val="hybridMultilevel"/>
    <w:tmpl w:val="03C8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075A23"/>
    <w:multiLevelType w:val="multilevel"/>
    <w:tmpl w:val="65F8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3F2677"/>
    <w:multiLevelType w:val="hybridMultilevel"/>
    <w:tmpl w:val="8E42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82F07"/>
    <w:multiLevelType w:val="hybridMultilevel"/>
    <w:tmpl w:val="DD3CF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1"/>
  </w:num>
  <w:num w:numId="5">
    <w:abstractNumId w:val="4"/>
  </w:num>
  <w:num w:numId="6">
    <w:abstractNumId w:val="19"/>
  </w:num>
  <w:num w:numId="7">
    <w:abstractNumId w:val="2"/>
  </w:num>
  <w:num w:numId="8">
    <w:abstractNumId w:val="16"/>
  </w:num>
  <w:num w:numId="9">
    <w:abstractNumId w:val="9"/>
  </w:num>
  <w:num w:numId="10">
    <w:abstractNumId w:val="7"/>
  </w:num>
  <w:num w:numId="11">
    <w:abstractNumId w:val="20"/>
  </w:num>
  <w:num w:numId="12">
    <w:abstractNumId w:val="18"/>
  </w:num>
  <w:num w:numId="13">
    <w:abstractNumId w:val="17"/>
  </w:num>
  <w:num w:numId="14">
    <w:abstractNumId w:val="15"/>
  </w:num>
  <w:num w:numId="15">
    <w:abstractNumId w:val="21"/>
  </w:num>
  <w:num w:numId="16">
    <w:abstractNumId w:val="12"/>
  </w:num>
  <w:num w:numId="17">
    <w:abstractNumId w:val="5"/>
  </w:num>
  <w:num w:numId="18">
    <w:abstractNumId w:val="3"/>
  </w:num>
  <w:num w:numId="19">
    <w:abstractNumId w:val="22"/>
  </w:num>
  <w:num w:numId="20">
    <w:abstractNumId w:val="14"/>
  </w:num>
  <w:num w:numId="21">
    <w:abstractNumId w:val="23"/>
  </w:num>
  <w:num w:numId="22">
    <w:abstractNumId w:val="10"/>
  </w:num>
  <w:num w:numId="23">
    <w:abstractNumId w:val="8"/>
  </w:num>
  <w:num w:numId="24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85096"/>
    <w:rsid w:val="000038FC"/>
    <w:rsid w:val="00004AC3"/>
    <w:rsid w:val="0001030F"/>
    <w:rsid w:val="000155E6"/>
    <w:rsid w:val="00015804"/>
    <w:rsid w:val="00034C0F"/>
    <w:rsid w:val="000353E8"/>
    <w:rsid w:val="00042369"/>
    <w:rsid w:val="00042B93"/>
    <w:rsid w:val="00043EE9"/>
    <w:rsid w:val="00044905"/>
    <w:rsid w:val="00051899"/>
    <w:rsid w:val="00053733"/>
    <w:rsid w:val="000606A2"/>
    <w:rsid w:val="00067DD3"/>
    <w:rsid w:val="00075116"/>
    <w:rsid w:val="0008472C"/>
    <w:rsid w:val="000858D5"/>
    <w:rsid w:val="00091880"/>
    <w:rsid w:val="00094747"/>
    <w:rsid w:val="000A2B65"/>
    <w:rsid w:val="000A4058"/>
    <w:rsid w:val="000A5A72"/>
    <w:rsid w:val="000B3712"/>
    <w:rsid w:val="000C69F7"/>
    <w:rsid w:val="000D0020"/>
    <w:rsid w:val="000D2BB3"/>
    <w:rsid w:val="000E586F"/>
    <w:rsid w:val="000F35E7"/>
    <w:rsid w:val="000F4553"/>
    <w:rsid w:val="000F4FBA"/>
    <w:rsid w:val="000F50CE"/>
    <w:rsid w:val="000F5FF7"/>
    <w:rsid w:val="001037C5"/>
    <w:rsid w:val="00105D87"/>
    <w:rsid w:val="00107BC3"/>
    <w:rsid w:val="00111E00"/>
    <w:rsid w:val="001128AD"/>
    <w:rsid w:val="00120450"/>
    <w:rsid w:val="00123E8D"/>
    <w:rsid w:val="001429C3"/>
    <w:rsid w:val="00144A86"/>
    <w:rsid w:val="001462F2"/>
    <w:rsid w:val="00152800"/>
    <w:rsid w:val="00154D70"/>
    <w:rsid w:val="00160F3C"/>
    <w:rsid w:val="00165B9D"/>
    <w:rsid w:val="00166F39"/>
    <w:rsid w:val="00167C93"/>
    <w:rsid w:val="00172ACD"/>
    <w:rsid w:val="00182759"/>
    <w:rsid w:val="001872B9"/>
    <w:rsid w:val="0019060B"/>
    <w:rsid w:val="00190C4A"/>
    <w:rsid w:val="0019118A"/>
    <w:rsid w:val="00193FD6"/>
    <w:rsid w:val="00197E1C"/>
    <w:rsid w:val="001A01D7"/>
    <w:rsid w:val="001A7A41"/>
    <w:rsid w:val="001B15E6"/>
    <w:rsid w:val="001B68C3"/>
    <w:rsid w:val="001C2EC0"/>
    <w:rsid w:val="001C6E28"/>
    <w:rsid w:val="001D10A0"/>
    <w:rsid w:val="001D2DE2"/>
    <w:rsid w:val="001F2EBF"/>
    <w:rsid w:val="001F48C2"/>
    <w:rsid w:val="0020058A"/>
    <w:rsid w:val="00204801"/>
    <w:rsid w:val="00206BA6"/>
    <w:rsid w:val="00217624"/>
    <w:rsid w:val="00222365"/>
    <w:rsid w:val="00223D46"/>
    <w:rsid w:val="00224955"/>
    <w:rsid w:val="00231DAE"/>
    <w:rsid w:val="00241E23"/>
    <w:rsid w:val="0024382A"/>
    <w:rsid w:val="00245C51"/>
    <w:rsid w:val="0024704E"/>
    <w:rsid w:val="00253AA8"/>
    <w:rsid w:val="002543AE"/>
    <w:rsid w:val="002B437A"/>
    <w:rsid w:val="002B659E"/>
    <w:rsid w:val="002C0F0A"/>
    <w:rsid w:val="002C6527"/>
    <w:rsid w:val="002C7508"/>
    <w:rsid w:val="002D18C1"/>
    <w:rsid w:val="002D48FF"/>
    <w:rsid w:val="002D53CC"/>
    <w:rsid w:val="002D53FA"/>
    <w:rsid w:val="002E2B2A"/>
    <w:rsid w:val="002F1096"/>
    <w:rsid w:val="002F4808"/>
    <w:rsid w:val="003000BD"/>
    <w:rsid w:val="00300373"/>
    <w:rsid w:val="00302507"/>
    <w:rsid w:val="00302B80"/>
    <w:rsid w:val="0031325B"/>
    <w:rsid w:val="00321B81"/>
    <w:rsid w:val="003223D3"/>
    <w:rsid w:val="00330B18"/>
    <w:rsid w:val="00332780"/>
    <w:rsid w:val="0033473B"/>
    <w:rsid w:val="003412F1"/>
    <w:rsid w:val="00343E43"/>
    <w:rsid w:val="00343F2F"/>
    <w:rsid w:val="0035050E"/>
    <w:rsid w:val="0035306F"/>
    <w:rsid w:val="0035600D"/>
    <w:rsid w:val="003562F3"/>
    <w:rsid w:val="00357D85"/>
    <w:rsid w:val="00361EBF"/>
    <w:rsid w:val="00366213"/>
    <w:rsid w:val="00366CEC"/>
    <w:rsid w:val="00367A39"/>
    <w:rsid w:val="00371745"/>
    <w:rsid w:val="00377FB9"/>
    <w:rsid w:val="003833EE"/>
    <w:rsid w:val="003870E1"/>
    <w:rsid w:val="00387D5B"/>
    <w:rsid w:val="00390205"/>
    <w:rsid w:val="00392BD7"/>
    <w:rsid w:val="00395603"/>
    <w:rsid w:val="00397377"/>
    <w:rsid w:val="003A08C7"/>
    <w:rsid w:val="003A44B9"/>
    <w:rsid w:val="003C1644"/>
    <w:rsid w:val="003C4936"/>
    <w:rsid w:val="003D4FAE"/>
    <w:rsid w:val="003D648E"/>
    <w:rsid w:val="003D679B"/>
    <w:rsid w:val="003D7BC6"/>
    <w:rsid w:val="003E0122"/>
    <w:rsid w:val="003E3117"/>
    <w:rsid w:val="003E5B9C"/>
    <w:rsid w:val="003E668B"/>
    <w:rsid w:val="003E72F8"/>
    <w:rsid w:val="003F36B9"/>
    <w:rsid w:val="003F4D58"/>
    <w:rsid w:val="003F6E45"/>
    <w:rsid w:val="00404959"/>
    <w:rsid w:val="00411341"/>
    <w:rsid w:val="00411AF8"/>
    <w:rsid w:val="00413677"/>
    <w:rsid w:val="004163D3"/>
    <w:rsid w:val="00423FBA"/>
    <w:rsid w:val="00424331"/>
    <w:rsid w:val="00425686"/>
    <w:rsid w:val="0043549F"/>
    <w:rsid w:val="00436EEE"/>
    <w:rsid w:val="00442BCE"/>
    <w:rsid w:val="00453016"/>
    <w:rsid w:val="00455E3B"/>
    <w:rsid w:val="00460BA9"/>
    <w:rsid w:val="00462DDE"/>
    <w:rsid w:val="00464F50"/>
    <w:rsid w:val="004674C5"/>
    <w:rsid w:val="004763A7"/>
    <w:rsid w:val="004A2D8A"/>
    <w:rsid w:val="004C0649"/>
    <w:rsid w:val="004C5D83"/>
    <w:rsid w:val="004C604E"/>
    <w:rsid w:val="004D4FB9"/>
    <w:rsid w:val="004D5971"/>
    <w:rsid w:val="004E0333"/>
    <w:rsid w:val="004E458A"/>
    <w:rsid w:val="004E647A"/>
    <w:rsid w:val="004E7453"/>
    <w:rsid w:val="004F11CB"/>
    <w:rsid w:val="004F122F"/>
    <w:rsid w:val="004F587B"/>
    <w:rsid w:val="005067B1"/>
    <w:rsid w:val="005068EC"/>
    <w:rsid w:val="00506F29"/>
    <w:rsid w:val="00515291"/>
    <w:rsid w:val="005215B9"/>
    <w:rsid w:val="00527B68"/>
    <w:rsid w:val="005407DE"/>
    <w:rsid w:val="005629E0"/>
    <w:rsid w:val="00574ADC"/>
    <w:rsid w:val="00577116"/>
    <w:rsid w:val="005841A2"/>
    <w:rsid w:val="005923E7"/>
    <w:rsid w:val="005A2B1C"/>
    <w:rsid w:val="005B058D"/>
    <w:rsid w:val="005C0233"/>
    <w:rsid w:val="005C41BE"/>
    <w:rsid w:val="005E4FBB"/>
    <w:rsid w:val="00600920"/>
    <w:rsid w:val="00603C03"/>
    <w:rsid w:val="0062334A"/>
    <w:rsid w:val="00631A5F"/>
    <w:rsid w:val="00631F81"/>
    <w:rsid w:val="00634F2D"/>
    <w:rsid w:val="00643B50"/>
    <w:rsid w:val="0064450D"/>
    <w:rsid w:val="00654A35"/>
    <w:rsid w:val="006630C5"/>
    <w:rsid w:val="00674887"/>
    <w:rsid w:val="00675084"/>
    <w:rsid w:val="00677D3D"/>
    <w:rsid w:val="00681FA6"/>
    <w:rsid w:val="00681FDF"/>
    <w:rsid w:val="00682B45"/>
    <w:rsid w:val="00684F05"/>
    <w:rsid w:val="00685CB4"/>
    <w:rsid w:val="00692ED5"/>
    <w:rsid w:val="006A762A"/>
    <w:rsid w:val="006C213B"/>
    <w:rsid w:val="006C289F"/>
    <w:rsid w:val="006C2D92"/>
    <w:rsid w:val="006C3CFB"/>
    <w:rsid w:val="006C5288"/>
    <w:rsid w:val="006E1BEC"/>
    <w:rsid w:val="006F64D1"/>
    <w:rsid w:val="006F6E6B"/>
    <w:rsid w:val="00713EF4"/>
    <w:rsid w:val="0071583A"/>
    <w:rsid w:val="00730CC3"/>
    <w:rsid w:val="007326E3"/>
    <w:rsid w:val="00736630"/>
    <w:rsid w:val="00737EBA"/>
    <w:rsid w:val="00741138"/>
    <w:rsid w:val="00746670"/>
    <w:rsid w:val="00753CF3"/>
    <w:rsid w:val="007559A8"/>
    <w:rsid w:val="00760025"/>
    <w:rsid w:val="00761798"/>
    <w:rsid w:val="007650FE"/>
    <w:rsid w:val="00781E32"/>
    <w:rsid w:val="00783572"/>
    <w:rsid w:val="007869B6"/>
    <w:rsid w:val="00791DD4"/>
    <w:rsid w:val="00796159"/>
    <w:rsid w:val="00797147"/>
    <w:rsid w:val="007A445A"/>
    <w:rsid w:val="007B513C"/>
    <w:rsid w:val="007B711A"/>
    <w:rsid w:val="007C2FBE"/>
    <w:rsid w:val="007C4EA7"/>
    <w:rsid w:val="007C657E"/>
    <w:rsid w:val="007D36E5"/>
    <w:rsid w:val="007E4E9F"/>
    <w:rsid w:val="007F1958"/>
    <w:rsid w:val="00807595"/>
    <w:rsid w:val="00820D27"/>
    <w:rsid w:val="00837E95"/>
    <w:rsid w:val="008501EE"/>
    <w:rsid w:val="008603AE"/>
    <w:rsid w:val="00862EB6"/>
    <w:rsid w:val="00864CB5"/>
    <w:rsid w:val="00873345"/>
    <w:rsid w:val="00876911"/>
    <w:rsid w:val="00876F26"/>
    <w:rsid w:val="008804AC"/>
    <w:rsid w:val="00890C40"/>
    <w:rsid w:val="00890ED5"/>
    <w:rsid w:val="0089467C"/>
    <w:rsid w:val="0089666E"/>
    <w:rsid w:val="00896912"/>
    <w:rsid w:val="008A36FF"/>
    <w:rsid w:val="008A5CCE"/>
    <w:rsid w:val="008C5B17"/>
    <w:rsid w:val="008C6AD8"/>
    <w:rsid w:val="008D5E2A"/>
    <w:rsid w:val="008D6799"/>
    <w:rsid w:val="008E0624"/>
    <w:rsid w:val="008E5F09"/>
    <w:rsid w:val="008F185C"/>
    <w:rsid w:val="008F4B4C"/>
    <w:rsid w:val="00901F47"/>
    <w:rsid w:val="00904E91"/>
    <w:rsid w:val="009132F2"/>
    <w:rsid w:val="009235C1"/>
    <w:rsid w:val="009242CF"/>
    <w:rsid w:val="009275ED"/>
    <w:rsid w:val="00931791"/>
    <w:rsid w:val="009320AB"/>
    <w:rsid w:val="00940EB7"/>
    <w:rsid w:val="00943551"/>
    <w:rsid w:val="00943D27"/>
    <w:rsid w:val="009527FE"/>
    <w:rsid w:val="0095408D"/>
    <w:rsid w:val="00960DE5"/>
    <w:rsid w:val="00962F38"/>
    <w:rsid w:val="00965FEA"/>
    <w:rsid w:val="00966AC0"/>
    <w:rsid w:val="00967C39"/>
    <w:rsid w:val="00982EB3"/>
    <w:rsid w:val="009865FC"/>
    <w:rsid w:val="00986B04"/>
    <w:rsid w:val="009934CF"/>
    <w:rsid w:val="00997576"/>
    <w:rsid w:val="009A603A"/>
    <w:rsid w:val="009B4415"/>
    <w:rsid w:val="009C12C1"/>
    <w:rsid w:val="009D3BBE"/>
    <w:rsid w:val="009D5CCB"/>
    <w:rsid w:val="009E44EC"/>
    <w:rsid w:val="009E4CC3"/>
    <w:rsid w:val="009F3854"/>
    <w:rsid w:val="009F75EF"/>
    <w:rsid w:val="00A12A6E"/>
    <w:rsid w:val="00A17072"/>
    <w:rsid w:val="00A26A10"/>
    <w:rsid w:val="00A41B77"/>
    <w:rsid w:val="00A422BE"/>
    <w:rsid w:val="00A47272"/>
    <w:rsid w:val="00A54790"/>
    <w:rsid w:val="00A56446"/>
    <w:rsid w:val="00A62D77"/>
    <w:rsid w:val="00A636D9"/>
    <w:rsid w:val="00A721EE"/>
    <w:rsid w:val="00A74D11"/>
    <w:rsid w:val="00A76965"/>
    <w:rsid w:val="00A910EC"/>
    <w:rsid w:val="00A97622"/>
    <w:rsid w:val="00AA0EE2"/>
    <w:rsid w:val="00AB3844"/>
    <w:rsid w:val="00AB7728"/>
    <w:rsid w:val="00AC2677"/>
    <w:rsid w:val="00AD232F"/>
    <w:rsid w:val="00AD45AA"/>
    <w:rsid w:val="00AE091B"/>
    <w:rsid w:val="00AE22ED"/>
    <w:rsid w:val="00AF4808"/>
    <w:rsid w:val="00B045D7"/>
    <w:rsid w:val="00B16F5B"/>
    <w:rsid w:val="00B1777D"/>
    <w:rsid w:val="00B22E1E"/>
    <w:rsid w:val="00B2339A"/>
    <w:rsid w:val="00B27AE7"/>
    <w:rsid w:val="00B337C9"/>
    <w:rsid w:val="00B353C6"/>
    <w:rsid w:val="00B35D79"/>
    <w:rsid w:val="00B5056E"/>
    <w:rsid w:val="00B506CA"/>
    <w:rsid w:val="00B533B3"/>
    <w:rsid w:val="00B53D92"/>
    <w:rsid w:val="00B7142C"/>
    <w:rsid w:val="00B74D98"/>
    <w:rsid w:val="00B75EA9"/>
    <w:rsid w:val="00B947EC"/>
    <w:rsid w:val="00BA02C9"/>
    <w:rsid w:val="00BA2487"/>
    <w:rsid w:val="00BA25E8"/>
    <w:rsid w:val="00BB31FA"/>
    <w:rsid w:val="00BB564E"/>
    <w:rsid w:val="00BE003C"/>
    <w:rsid w:val="00BE2434"/>
    <w:rsid w:val="00BE3256"/>
    <w:rsid w:val="00BE4B68"/>
    <w:rsid w:val="00BF2B7C"/>
    <w:rsid w:val="00BF33F6"/>
    <w:rsid w:val="00BF343F"/>
    <w:rsid w:val="00BF5684"/>
    <w:rsid w:val="00BF70BB"/>
    <w:rsid w:val="00C0016B"/>
    <w:rsid w:val="00C033F2"/>
    <w:rsid w:val="00C037B7"/>
    <w:rsid w:val="00C03FFA"/>
    <w:rsid w:val="00C069CC"/>
    <w:rsid w:val="00C1542B"/>
    <w:rsid w:val="00C3402A"/>
    <w:rsid w:val="00C35CA3"/>
    <w:rsid w:val="00C414B0"/>
    <w:rsid w:val="00C427C6"/>
    <w:rsid w:val="00C67444"/>
    <w:rsid w:val="00C72CB5"/>
    <w:rsid w:val="00C732B1"/>
    <w:rsid w:val="00C77205"/>
    <w:rsid w:val="00C802F0"/>
    <w:rsid w:val="00C83D4C"/>
    <w:rsid w:val="00C91E5D"/>
    <w:rsid w:val="00C957F6"/>
    <w:rsid w:val="00C97BA7"/>
    <w:rsid w:val="00CB39DE"/>
    <w:rsid w:val="00CD2BD0"/>
    <w:rsid w:val="00CD4001"/>
    <w:rsid w:val="00CD7147"/>
    <w:rsid w:val="00CD7AEF"/>
    <w:rsid w:val="00CE2240"/>
    <w:rsid w:val="00CE4FF9"/>
    <w:rsid w:val="00CF23C3"/>
    <w:rsid w:val="00D01D60"/>
    <w:rsid w:val="00D05574"/>
    <w:rsid w:val="00D11D1B"/>
    <w:rsid w:val="00D133EE"/>
    <w:rsid w:val="00D1420B"/>
    <w:rsid w:val="00D269F4"/>
    <w:rsid w:val="00D30D95"/>
    <w:rsid w:val="00D32C03"/>
    <w:rsid w:val="00D33B30"/>
    <w:rsid w:val="00D43D34"/>
    <w:rsid w:val="00D44CB6"/>
    <w:rsid w:val="00D513A5"/>
    <w:rsid w:val="00D55D20"/>
    <w:rsid w:val="00D76571"/>
    <w:rsid w:val="00D7710A"/>
    <w:rsid w:val="00D85E4D"/>
    <w:rsid w:val="00D8677B"/>
    <w:rsid w:val="00D87A77"/>
    <w:rsid w:val="00DA103A"/>
    <w:rsid w:val="00DB00C7"/>
    <w:rsid w:val="00DB0B52"/>
    <w:rsid w:val="00DB1EFC"/>
    <w:rsid w:val="00DB5E00"/>
    <w:rsid w:val="00DC4668"/>
    <w:rsid w:val="00DD209F"/>
    <w:rsid w:val="00DE3FB6"/>
    <w:rsid w:val="00DE6726"/>
    <w:rsid w:val="00DF2AF5"/>
    <w:rsid w:val="00DF505E"/>
    <w:rsid w:val="00E0556A"/>
    <w:rsid w:val="00E055B9"/>
    <w:rsid w:val="00E06B7E"/>
    <w:rsid w:val="00E102BA"/>
    <w:rsid w:val="00E22435"/>
    <w:rsid w:val="00E23FDB"/>
    <w:rsid w:val="00E2519D"/>
    <w:rsid w:val="00E2563B"/>
    <w:rsid w:val="00E30399"/>
    <w:rsid w:val="00E31CF4"/>
    <w:rsid w:val="00E3235D"/>
    <w:rsid w:val="00E35A44"/>
    <w:rsid w:val="00E41DD9"/>
    <w:rsid w:val="00E45A5F"/>
    <w:rsid w:val="00E52340"/>
    <w:rsid w:val="00E53611"/>
    <w:rsid w:val="00E5412E"/>
    <w:rsid w:val="00E54816"/>
    <w:rsid w:val="00E57B8F"/>
    <w:rsid w:val="00E60F1C"/>
    <w:rsid w:val="00E71AA4"/>
    <w:rsid w:val="00E72FAC"/>
    <w:rsid w:val="00E76417"/>
    <w:rsid w:val="00E80077"/>
    <w:rsid w:val="00E83075"/>
    <w:rsid w:val="00E85096"/>
    <w:rsid w:val="00E9196C"/>
    <w:rsid w:val="00EB54C4"/>
    <w:rsid w:val="00EB64C5"/>
    <w:rsid w:val="00EC4224"/>
    <w:rsid w:val="00ED0EA9"/>
    <w:rsid w:val="00ED6D03"/>
    <w:rsid w:val="00EE0FE3"/>
    <w:rsid w:val="00EF5331"/>
    <w:rsid w:val="00F021B5"/>
    <w:rsid w:val="00F12236"/>
    <w:rsid w:val="00F209F4"/>
    <w:rsid w:val="00F20CCA"/>
    <w:rsid w:val="00F405F7"/>
    <w:rsid w:val="00F42E08"/>
    <w:rsid w:val="00F454D3"/>
    <w:rsid w:val="00F54189"/>
    <w:rsid w:val="00F77CE0"/>
    <w:rsid w:val="00F822BB"/>
    <w:rsid w:val="00FA0D52"/>
    <w:rsid w:val="00FA37A7"/>
    <w:rsid w:val="00FB2959"/>
    <w:rsid w:val="00FB407F"/>
    <w:rsid w:val="00FD32BD"/>
    <w:rsid w:val="00FE082F"/>
    <w:rsid w:val="00FE37C6"/>
    <w:rsid w:val="00FE4C60"/>
    <w:rsid w:val="00FE6F53"/>
    <w:rsid w:val="00FE7AE4"/>
    <w:rsid w:val="00FF0B5F"/>
    <w:rsid w:val="00FF3141"/>
    <w:rsid w:val="00FF726D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1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 w:eastAsia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761798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rsid w:val="00DA103A"/>
    <w:pPr>
      <w:tabs>
        <w:tab w:val="left" w:pos="660"/>
        <w:tab w:val="right" w:pos="8296"/>
      </w:tabs>
      <w:spacing w:before="80"/>
    </w:pPr>
    <w:rPr>
      <w:rFonts w:ascii="Arial" w:eastAsiaTheme="minorEastAsia" w:hAnsi="Arial" w:cs="Arial"/>
      <w:b/>
      <w:b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53D92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  <w:style w:type="character" w:styleId="CommentReference">
    <w:name w:val="annotation reference"/>
    <w:basedOn w:val="DefaultParagraphFont"/>
    <w:semiHidden/>
    <w:unhideWhenUsed/>
    <w:rsid w:val="00781E3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781E32"/>
  </w:style>
  <w:style w:type="character" w:customStyle="1" w:styleId="CommentTextChar">
    <w:name w:val="Comment Text Char"/>
    <w:basedOn w:val="DefaultParagraphFont"/>
    <w:link w:val="CommentText"/>
    <w:semiHidden/>
    <w:rsid w:val="00781E32"/>
    <w:rPr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1E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81E32"/>
    <w:rPr>
      <w:b/>
      <w:bCs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1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 w:eastAsia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761798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rsid w:val="00DA103A"/>
    <w:pPr>
      <w:tabs>
        <w:tab w:val="left" w:pos="660"/>
        <w:tab w:val="right" w:pos="8296"/>
      </w:tabs>
      <w:spacing w:before="80"/>
    </w:pPr>
    <w:rPr>
      <w:rFonts w:ascii="Arial" w:eastAsiaTheme="minorEastAsia" w:hAnsi="Arial" w:cs="Arial"/>
      <w:b/>
      <w:b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53D92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  <w:style w:type="character" w:styleId="CommentReference">
    <w:name w:val="annotation reference"/>
    <w:basedOn w:val="DefaultParagraphFont"/>
    <w:semiHidden/>
    <w:unhideWhenUsed/>
    <w:rsid w:val="00781E3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781E32"/>
  </w:style>
  <w:style w:type="character" w:customStyle="1" w:styleId="CommentTextChar">
    <w:name w:val="Comment Text Char"/>
    <w:basedOn w:val="DefaultParagraphFont"/>
    <w:link w:val="CommentText"/>
    <w:semiHidden/>
    <w:rsid w:val="00781E32"/>
    <w:rPr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1E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81E32"/>
    <w:rPr>
      <w:b/>
      <w:bCs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dpr-info.eu/art-35-gdp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o.org.uk/media/for-organisations/documents/2666/security_breach_notification_form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ico.org.uk/media/for-organisations/documents/1536/breach_reporti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johnstonandpartners.co.uk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guide-to-the-general-data-protection-regulation-gdpr/lawful-basis-for-processing/consent/" TargetMode="External"/><Relationship Id="rId3" Type="http://schemas.openxmlformats.org/officeDocument/2006/relationships/hyperlink" Target="https://digital.nhs.uk/media/35499/IGA-GDPR-What-s-new-guidance-V1-FINAL/pdf/IGA_-_GDPR_What's_new_guidance_V1_FINAL" TargetMode="External"/><Relationship Id="rId7" Type="http://schemas.openxmlformats.org/officeDocument/2006/relationships/hyperlink" Target="https://ico.org.uk/for-organisations/guide-to-the-general-data-protection-regulation-gdpr/personal-data-breaches/" TargetMode="External"/><Relationship Id="rId2" Type="http://schemas.openxmlformats.org/officeDocument/2006/relationships/hyperlink" Target="https://www.eugdpr.org/eugdpr.org.html" TargetMode="External"/><Relationship Id="rId1" Type="http://schemas.openxmlformats.org/officeDocument/2006/relationships/hyperlink" Target="https://www.digital.nhs.uk/information-governance-alliance/General-Data-Protection-Regulation-guidance" TargetMode="External"/><Relationship Id="rId6" Type="http://schemas.openxmlformats.org/officeDocument/2006/relationships/hyperlink" Target="https://ico.org.uk/for-organisations/guide-to-the-general-data-protection-regulation-gdpr/personal-data-breaches/" TargetMode="External"/><Relationship Id="rId5" Type="http://schemas.openxmlformats.org/officeDocument/2006/relationships/hyperlink" Target="https://gdpr-info.eu/art-6-gdpr/" TargetMode="External"/><Relationship Id="rId4" Type="http://schemas.openxmlformats.org/officeDocument/2006/relationships/hyperlink" Target="https://gdpr-info.eu/art-5-gd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EF58-C514-451A-BCCF-32059725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24637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Stephen Leeves</cp:lastModifiedBy>
  <cp:revision>2</cp:revision>
  <cp:lastPrinted>2017-09-20T11:53:00Z</cp:lastPrinted>
  <dcterms:created xsi:type="dcterms:W3CDTF">2023-07-07T13:41:00Z</dcterms:created>
  <dcterms:modified xsi:type="dcterms:W3CDTF">2023-07-07T13:41:00Z</dcterms:modified>
</cp:coreProperties>
</file>